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ascii="宋体" w:hAnsi="宋体" w:cs="宋体"/>
          <w:sz w:val="60"/>
          <w:szCs w:val="60"/>
          <w:highlight w:val="none"/>
        </w:rPr>
      </w:pPr>
      <w:r>
        <w:rPr>
          <w:rFonts w:ascii="宋体" w:hAnsi="宋体" w:cs="宋体"/>
          <w:sz w:val="60"/>
          <w:szCs w:val="60"/>
          <w:highlight w:val="none"/>
        </w:rPr>
      </w:r>
      <w:r/>
    </w:p>
    <w:p>
      <w:pPr>
        <w:ind w:left="570" w:hanging="570"/>
        <w:jc w:val="center"/>
        <w:spacing w:line="360" w:lineRule="auto"/>
        <w:rPr>
          <w:rFonts w:ascii="宋体" w:hAnsi="宋体" w:cs="宋体"/>
          <w:sz w:val="60"/>
          <w:szCs w:val="60"/>
          <w:highlight w:val="none"/>
        </w:rPr>
      </w:pPr>
      <w:r>
        <w:rPr>
          <w:rFonts w:ascii="宋体" w:hAnsi="宋体" w:cs="宋体"/>
          <w:sz w:val="60"/>
          <w:szCs w:val="60"/>
          <w:highlight w:val="none"/>
        </w:rPr>
      </w:r>
      <w:r/>
    </w:p>
    <w:p>
      <w:pPr>
        <w:ind w:left="570" w:hanging="570"/>
        <w:jc w:val="center"/>
        <w:spacing w:line="360" w:lineRule="auto"/>
        <w:rPr>
          <w:rFonts w:ascii="宋体" w:hAnsi="宋体" w:cs="宋体"/>
          <w:sz w:val="60"/>
          <w:szCs w:val="60"/>
          <w:highlight w:val="none"/>
        </w:rPr>
      </w:pPr>
      <w:r>
        <w:rPr>
          <w:rFonts w:ascii="宋体" w:hAnsi="宋体" w:cs="宋体"/>
          <w:sz w:val="60"/>
          <w:szCs w:val="60"/>
          <w:highlight w:val="none"/>
        </w:rPr>
      </w:r>
      <w:r/>
    </w:p>
    <w:p>
      <w:pPr>
        <w:jc w:val="center"/>
        <w:spacing w:after="312" w:line="720" w:lineRule="auto"/>
        <w:rPr>
          <w:rFonts w:ascii="宋体" w:hAnsi="宋体" w:cs="宋体"/>
          <w:b/>
          <w:sz w:val="60"/>
          <w:szCs w:val="60"/>
          <w:highlight w:val="none"/>
        </w:rPr>
      </w:pPr>
      <w:r>
        <w:rPr>
          <w:rFonts w:hint="eastAsia" w:ascii="宋体" w:hAnsi="宋体" w:cs="宋体"/>
          <w:b/>
          <w:spacing w:val="114"/>
          <w:sz w:val="60"/>
          <w:szCs w:val="60"/>
          <w:highlight w:val="none"/>
        </w:rPr>
        <w:t xml:space="preserve">常州市政府采购项</w:t>
      </w:r>
      <w:r>
        <w:rPr>
          <w:rFonts w:hint="eastAsia" w:ascii="宋体" w:hAnsi="宋体" w:cs="宋体"/>
          <w:b/>
          <w:spacing w:val="0"/>
          <w:sz w:val="60"/>
          <w:szCs w:val="60"/>
          <w:highlight w:val="none"/>
        </w:rPr>
        <w:t xml:space="preserve">目</w:t>
      </w:r>
      <w:r/>
    </w:p>
    <w:p>
      <w:pPr>
        <w:ind w:left="1028" w:hanging="1028"/>
        <w:jc w:val="center"/>
        <w:spacing w:after="312" w:line="720" w:lineRule="auto"/>
        <w:rPr>
          <w:rFonts w:ascii="宋体" w:hAnsi="宋体" w:cs="宋体"/>
          <w:b/>
          <w:sz w:val="60"/>
          <w:szCs w:val="60"/>
          <w:highlight w:val="none"/>
        </w:rPr>
      </w:pPr>
      <w:r>
        <w:rPr>
          <w:rFonts w:hint="eastAsia" w:ascii="宋体" w:hAnsi="宋体" w:cs="宋体"/>
          <w:b/>
          <w:spacing w:val="242"/>
          <w:sz w:val="60"/>
          <w:szCs w:val="60"/>
          <w:highlight w:val="none"/>
        </w:rPr>
        <w:t xml:space="preserve">公开招标文</w:t>
      </w:r>
      <w:r>
        <w:rPr>
          <w:rFonts w:hint="eastAsia" w:ascii="宋体" w:hAnsi="宋体" w:cs="宋体"/>
          <w:b/>
          <w:spacing w:val="0"/>
          <w:sz w:val="60"/>
          <w:szCs w:val="60"/>
          <w:highlight w:val="none"/>
        </w:rPr>
        <w:t xml:space="preserve">件</w:t>
      </w:r>
      <w:r/>
    </w:p>
    <w:p>
      <w:pPr>
        <w:ind w:left="570" w:hanging="570"/>
        <w:jc w:val="center"/>
        <w:spacing w:line="360" w:lineRule="auto"/>
        <w:rPr>
          <w:rFonts w:ascii="宋体" w:hAnsi="宋体" w:cs="宋体"/>
          <w:sz w:val="60"/>
          <w:szCs w:val="60"/>
          <w:highlight w:val="none"/>
        </w:rPr>
      </w:pPr>
      <w:r>
        <w:rPr>
          <w:rFonts w:ascii="宋体" w:hAnsi="宋体" w:cs="宋体"/>
          <w:sz w:val="60"/>
          <w:szCs w:val="60"/>
          <w:highlight w:val="none"/>
        </w:rPr>
      </w:r>
      <w:r/>
    </w:p>
    <w:p>
      <w:pPr>
        <w:jc w:val="left"/>
        <w:spacing w:line="360" w:lineRule="auto"/>
        <w:tabs>
          <w:tab w:val="left" w:pos="5609" w:leader="none"/>
        </w:tabs>
        <w:rPr>
          <w:rFonts w:ascii="宋体" w:hAnsi="宋体" w:cs="宋体"/>
          <w:bCs/>
          <w:sz w:val="30"/>
          <w:szCs w:val="30"/>
          <w:highlight w:val="none"/>
        </w:rPr>
      </w:pPr>
      <w:r>
        <w:rPr>
          <w:rFonts w:ascii="宋体" w:hAnsi="宋体" w:cs="宋体"/>
          <w:bCs/>
          <w:sz w:val="30"/>
          <w:szCs w:val="30"/>
          <w:highlight w:val="none"/>
        </w:rPr>
      </w:r>
      <w:r/>
    </w:p>
    <w:p>
      <w:pPr>
        <w:jc w:val="left"/>
        <w:spacing w:line="360" w:lineRule="auto"/>
        <w:tabs>
          <w:tab w:val="left" w:pos="5609" w:leader="none"/>
        </w:tabs>
        <w:rPr>
          <w:rFonts w:hint="eastAsia" w:ascii="宋体" w:hAnsi="宋体" w:eastAsia="宋体" w:cs="宋体"/>
          <w:bCs/>
          <w:sz w:val="30"/>
          <w:szCs w:val="30"/>
          <w:highlight w:val="none"/>
          <w:lang w:eastAsia="zh-CN"/>
        </w:rPr>
      </w:pPr>
      <w:r>
        <w:rPr>
          <w:rFonts w:hint="eastAsia" w:ascii="宋体" w:hAnsi="宋体" w:cs="宋体"/>
          <w:bCs/>
          <w:sz w:val="30"/>
          <w:szCs w:val="30"/>
          <w:highlight w:val="none"/>
        </w:rPr>
        <w:t xml:space="preserve">项目名称：</w:t>
      </w:r>
      <w:r>
        <w:rPr>
          <w:rFonts w:hint="eastAsia" w:ascii="宋体" w:hAnsi="宋体" w:cs="宋体"/>
          <w:bCs/>
          <w:sz w:val="30"/>
          <w:szCs w:val="30"/>
          <w:highlight w:val="none"/>
          <w:lang w:eastAsia="zh-CN"/>
        </w:rPr>
        <w:t xml:space="preserve">经开区2026年委托第三方监测服务项目</w:t>
      </w:r>
      <w:r/>
    </w:p>
    <w:p>
      <w:pPr>
        <w:ind w:left="1500" w:hanging="1500"/>
        <w:jc w:val="left"/>
        <w:spacing w:line="360" w:lineRule="auto"/>
        <w:tabs>
          <w:tab w:val="left" w:pos="5609" w:leader="none"/>
        </w:tabs>
        <w:rPr>
          <w:rFonts w:hint="eastAsia" w:ascii="宋体" w:hAnsi="宋体" w:eastAsia="宋体" w:cs="宋体"/>
          <w:bCs/>
          <w:highlight w:val="none"/>
          <w:lang w:eastAsia="zh-CN"/>
        </w:rPr>
      </w:pPr>
      <w:r>
        <w:rPr>
          <w:rFonts w:hint="eastAsia" w:ascii="宋体" w:hAnsi="宋体" w:cs="宋体"/>
          <w:bCs/>
          <w:sz w:val="30"/>
          <w:szCs w:val="30"/>
          <w:highlight w:val="none"/>
        </w:rPr>
        <w:t xml:space="preserve">项目编号：</w:t>
      </w:r>
      <w:r>
        <w:rPr>
          <w:rFonts w:hint="eastAsia" w:ascii="宋体" w:hAnsi="宋体" w:cs="宋体"/>
          <w:bCs/>
          <w:sz w:val="30"/>
          <w:szCs w:val="30"/>
          <w:highlight w:val="none"/>
          <w:lang w:eastAsia="zh-CN"/>
        </w:rPr>
        <w:t xml:space="preserve">JSZC-320412-CZJC-G2026-0001</w:t>
      </w:r>
      <w:r/>
    </w:p>
    <w:p>
      <w:pPr>
        <w:ind w:left="285" w:hanging="285"/>
        <w:jc w:val="left"/>
        <w:spacing w:line="360" w:lineRule="auto"/>
        <w:tabs>
          <w:tab w:val="left" w:pos="5609" w:leader="none"/>
        </w:tabs>
        <w:rPr>
          <w:rFonts w:ascii="宋体" w:hAnsi="宋体" w:cs="宋体"/>
          <w:bCs/>
          <w:sz w:val="30"/>
          <w:szCs w:val="30"/>
          <w:highlight w:val="none"/>
        </w:rPr>
      </w:pPr>
      <w:r>
        <w:rPr>
          <w:rFonts w:hint="eastAsia" w:ascii="宋体" w:hAnsi="宋体" w:cs="宋体"/>
          <w:bCs/>
          <w:sz w:val="30"/>
          <w:szCs w:val="30"/>
          <w:highlight w:val="none"/>
        </w:rPr>
        <w:t xml:space="preserve">采 购 人：常州市生态环境局常州经济开发区分局</w:t>
      </w:r>
      <w:r/>
    </w:p>
    <w:p>
      <w:pPr>
        <w:ind w:left="285" w:hanging="285"/>
        <w:jc w:val="left"/>
        <w:spacing w:line="360" w:lineRule="auto"/>
        <w:tabs>
          <w:tab w:val="left" w:pos="3240" w:leader="none"/>
          <w:tab w:val="left" w:pos="3420" w:leader="none"/>
        </w:tabs>
        <w:rPr>
          <w:rFonts w:ascii="宋体" w:hAnsi="宋体" w:cs="宋体"/>
          <w:bCs/>
          <w:sz w:val="30"/>
          <w:szCs w:val="30"/>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30"/>
          <w:szCs w:val="30"/>
          <w:highlight w:val="none"/>
        </w:rPr>
        <w:t xml:space="preserve">采购代理机构：</w:t>
      </w:r>
      <w:r>
        <w:rPr>
          <w:rStyle w:val="1037"/>
          <w:rFonts w:hint="eastAsia" w:hAnsi="宋体" w:cs="宋体"/>
          <w:sz w:val="30"/>
          <w:szCs w:val="30"/>
          <w:highlight w:val="none"/>
        </w:rPr>
        <w:t xml:space="preserve">常州金诚招投标有限公司</w:t>
      </w:r>
      <w:r/>
    </w:p>
    <w:p>
      <w:pPr>
        <w:ind w:left="343" w:hanging="343"/>
        <w:jc w:val="center"/>
        <w:widowControl/>
        <w:rPr>
          <w:rFonts w:ascii="宋体" w:hAnsi="宋体" w:cs="宋体"/>
          <w:b/>
          <w:bCs/>
          <w:sz w:val="36"/>
          <w:szCs w:val="36"/>
          <w:highlight w:val="none"/>
        </w:rPr>
      </w:pPr>
      <w:r>
        <w:rPr>
          <w:rFonts w:hint="eastAsia" w:ascii="宋体" w:hAnsi="宋体" w:cs="宋体"/>
          <w:b/>
          <w:bCs/>
          <w:sz w:val="36"/>
          <w:szCs w:val="36"/>
          <w:highlight w:val="none"/>
        </w:rPr>
        <w:t xml:space="preserve">目录</w:t>
      </w:r>
      <w:r/>
    </w:p>
    <w:p>
      <w:pPr>
        <w:pStyle w:val="1007"/>
        <w:tabs>
          <w:tab w:val="right" w:pos="8306" w:leader="dot"/>
        </w:tabs>
      </w:pPr>
      <w:r>
        <w:rPr>
          <w:rFonts w:hint="eastAsia"/>
          <w:bCs/>
          <w:sz w:val="36"/>
          <w:szCs w:val="36"/>
          <w:highlight w:val="none"/>
        </w:rPr>
        <w:fldChar w:fldCharType="begin"/>
      </w:r>
      <w:r>
        <w:rPr>
          <w:rFonts w:hint="eastAsia"/>
          <w:bCs/>
          <w:sz w:val="36"/>
          <w:szCs w:val="36"/>
          <w:highlight w:val="none"/>
        </w:rPr>
        <w:instrText xml:space="preserve"> TOC \o "1-1" \h \z \u </w:instrText>
      </w:r>
      <w:r>
        <w:rPr>
          <w:rFonts w:hint="eastAsia"/>
          <w:bCs/>
          <w:sz w:val="36"/>
          <w:szCs w:val="36"/>
          <w:highlight w:val="none"/>
        </w:rPr>
        <w:fldChar w:fldCharType="separate"/>
      </w:r>
      <w:r>
        <w:rPr>
          <w:rFonts w:hint="eastAsia"/>
          <w:bCs/>
          <w:szCs w:val="36"/>
          <w:highlight w:val="none"/>
        </w:rPr>
        <w:fldChar w:fldCharType="begin"/>
      </w:r>
      <w:r>
        <w:rPr>
          <w:rFonts w:hint="eastAsia"/>
          <w:bCs/>
          <w:szCs w:val="36"/>
          <w:highlight w:val="none"/>
        </w:rPr>
        <w:instrText xml:space="preserve"> HYPERLINK \l _Toc7811 </w:instrText>
      </w:r>
      <w:r>
        <w:rPr>
          <w:rFonts w:hint="eastAsia"/>
          <w:bCs/>
          <w:szCs w:val="36"/>
          <w:highlight w:val="none"/>
        </w:rPr>
        <w:fldChar w:fldCharType="separate"/>
      </w:r>
      <w:r>
        <w:rPr>
          <w:rFonts w:hint="eastAsia" w:ascii="宋体" w:hAnsi="宋体" w:cs="宋体"/>
          <w:highlight w:val="none"/>
        </w:rPr>
        <w:t xml:space="preserve">第一章 投标邀请</w:t>
      </w:r>
      <w:r>
        <w:tab/>
      </w:r>
      <w:r>
        <w:fldChar w:fldCharType="begin"/>
      </w:r>
      <w:r>
        <w:instrText xml:space="preserve"> PAGEREF _Toc7811 \h </w:instrText>
      </w:r>
      <w:r>
        <w:fldChar w:fldCharType="separate"/>
      </w:r>
      <w:r>
        <w:t xml:space="preserve">1</w:t>
      </w:r>
      <w:r>
        <w:fldChar w:fldCharType="end"/>
      </w:r>
      <w:r>
        <w:rPr>
          <w:rFonts w:hint="eastAsia"/>
          <w:bCs/>
          <w:szCs w:val="36"/>
          <w:highlight w:val="none"/>
        </w:rPr>
        <w:fldChar w:fldCharType="end"/>
      </w:r>
      <w:r/>
    </w:p>
    <w:p>
      <w:pPr>
        <w:pStyle w:val="1007"/>
        <w:tabs>
          <w:tab w:val="right" w:pos="8306" w:leader="dot"/>
        </w:tabs>
      </w:pPr>
      <w:r>
        <w:rPr>
          <w:rFonts w:hint="eastAsia" w:ascii="宋体" w:hAnsi="宋体" w:cs="宋体"/>
          <w:bCs/>
          <w:szCs w:val="36"/>
          <w:highlight w:val="none"/>
        </w:rPr>
        <w:fldChar w:fldCharType="begin"/>
      </w:r>
      <w:r>
        <w:rPr>
          <w:rFonts w:hint="eastAsia" w:ascii="宋体" w:hAnsi="宋体" w:cs="宋体"/>
          <w:bCs/>
          <w:szCs w:val="36"/>
          <w:highlight w:val="none"/>
        </w:rPr>
        <w:instrText xml:space="preserve"> HYPERLINK \l _Toc5561 </w:instrText>
      </w:r>
      <w:r>
        <w:rPr>
          <w:rFonts w:hint="eastAsia" w:ascii="宋体" w:hAnsi="宋体" w:cs="宋体"/>
          <w:bCs/>
          <w:szCs w:val="36"/>
          <w:highlight w:val="none"/>
        </w:rPr>
        <w:fldChar w:fldCharType="separate"/>
      </w:r>
      <w:r>
        <w:rPr>
          <w:rFonts w:hint="eastAsia" w:ascii="宋体" w:hAnsi="宋体" w:cs="宋体"/>
          <w:highlight w:val="none"/>
        </w:rPr>
        <w:t xml:space="preserve">第二章 投标人须知</w:t>
      </w:r>
      <w:r>
        <w:tab/>
      </w:r>
      <w:r>
        <w:fldChar w:fldCharType="begin"/>
      </w:r>
      <w:r>
        <w:instrText xml:space="preserve"> PAGEREF _Toc5561 \h </w:instrText>
      </w:r>
      <w:r>
        <w:fldChar w:fldCharType="separate"/>
      </w:r>
      <w:r>
        <w:t xml:space="preserve">5</w:t>
      </w:r>
      <w:r>
        <w:fldChar w:fldCharType="end"/>
      </w:r>
      <w:r>
        <w:rPr>
          <w:rFonts w:hint="eastAsia" w:ascii="宋体" w:hAnsi="宋体" w:cs="宋体"/>
          <w:bCs/>
          <w:szCs w:val="36"/>
          <w:highlight w:val="none"/>
        </w:rPr>
        <w:fldChar w:fldCharType="end"/>
      </w:r>
      <w:r/>
    </w:p>
    <w:p>
      <w:pPr>
        <w:pStyle w:val="1007"/>
        <w:tabs>
          <w:tab w:val="right" w:pos="8306" w:leader="dot"/>
        </w:tabs>
      </w:pPr>
      <w:r>
        <w:rPr>
          <w:rFonts w:hint="eastAsia" w:ascii="宋体" w:hAnsi="宋体" w:cs="宋体"/>
          <w:bCs/>
          <w:szCs w:val="36"/>
          <w:highlight w:val="none"/>
        </w:rPr>
        <w:fldChar w:fldCharType="begin"/>
      </w:r>
      <w:r>
        <w:rPr>
          <w:rFonts w:hint="eastAsia" w:ascii="宋体" w:hAnsi="宋体" w:cs="宋体"/>
          <w:bCs/>
          <w:szCs w:val="36"/>
          <w:highlight w:val="none"/>
        </w:rPr>
        <w:instrText xml:space="preserve"> HYPERLINK \l _Toc6562 </w:instrText>
      </w:r>
      <w:r>
        <w:rPr>
          <w:rFonts w:hint="eastAsia" w:ascii="宋体" w:hAnsi="宋体" w:cs="宋体"/>
          <w:bCs/>
          <w:szCs w:val="36"/>
          <w:highlight w:val="none"/>
        </w:rPr>
        <w:fldChar w:fldCharType="separate"/>
      </w:r>
      <w:r>
        <w:rPr>
          <w:rFonts w:hint="eastAsia" w:ascii="宋体" w:hAnsi="宋体" w:cs="宋体"/>
          <w:highlight w:val="none"/>
        </w:rPr>
        <w:t xml:space="preserve">第三章 资格审查</w:t>
      </w:r>
      <w:r>
        <w:tab/>
      </w:r>
      <w:r>
        <w:fldChar w:fldCharType="begin"/>
      </w:r>
      <w:r>
        <w:instrText xml:space="preserve"> PAGEREF _Toc6562 \h </w:instrText>
      </w:r>
      <w:r>
        <w:fldChar w:fldCharType="separate"/>
      </w:r>
      <w:r>
        <w:t xml:space="preserve">21</w:t>
      </w:r>
      <w:r>
        <w:fldChar w:fldCharType="end"/>
      </w:r>
      <w:r>
        <w:rPr>
          <w:rFonts w:hint="eastAsia" w:ascii="宋体" w:hAnsi="宋体" w:cs="宋体"/>
          <w:bCs/>
          <w:szCs w:val="36"/>
          <w:highlight w:val="none"/>
        </w:rPr>
        <w:fldChar w:fldCharType="end"/>
      </w:r>
      <w:r/>
    </w:p>
    <w:p>
      <w:pPr>
        <w:pStyle w:val="1007"/>
        <w:tabs>
          <w:tab w:val="right" w:pos="8306" w:leader="dot"/>
        </w:tabs>
      </w:pPr>
      <w:r>
        <w:rPr>
          <w:rFonts w:hint="eastAsia" w:ascii="宋体" w:hAnsi="宋体" w:cs="宋体"/>
          <w:bCs/>
          <w:szCs w:val="36"/>
          <w:highlight w:val="none"/>
        </w:rPr>
        <w:fldChar w:fldCharType="begin"/>
      </w:r>
      <w:r>
        <w:rPr>
          <w:rFonts w:hint="eastAsia" w:ascii="宋体" w:hAnsi="宋体" w:cs="宋体"/>
          <w:bCs/>
          <w:szCs w:val="36"/>
          <w:highlight w:val="none"/>
        </w:rPr>
        <w:instrText xml:space="preserve"> HYPERLINK \l _Toc15674 </w:instrText>
      </w:r>
      <w:r>
        <w:rPr>
          <w:rFonts w:hint="eastAsia" w:ascii="宋体" w:hAnsi="宋体" w:cs="宋体"/>
          <w:bCs/>
          <w:szCs w:val="36"/>
          <w:highlight w:val="none"/>
        </w:rPr>
        <w:fldChar w:fldCharType="separate"/>
      </w:r>
      <w:r>
        <w:rPr>
          <w:rFonts w:hint="eastAsia" w:ascii="宋体" w:hAnsi="宋体" w:cs="宋体"/>
          <w:highlight w:val="none"/>
        </w:rPr>
        <w:t xml:space="preserve">第四章 评标程序、评标方法和评标标准</w:t>
      </w:r>
      <w:r>
        <w:tab/>
      </w:r>
      <w:r>
        <w:fldChar w:fldCharType="begin"/>
      </w:r>
      <w:r>
        <w:instrText xml:space="preserve"> PAGEREF _Toc15674 \h </w:instrText>
      </w:r>
      <w:r>
        <w:fldChar w:fldCharType="separate"/>
      </w:r>
      <w:r>
        <w:t xml:space="preserve">23</w:t>
      </w:r>
      <w:r>
        <w:fldChar w:fldCharType="end"/>
      </w:r>
      <w:r>
        <w:rPr>
          <w:rFonts w:hint="eastAsia" w:ascii="宋体" w:hAnsi="宋体" w:cs="宋体"/>
          <w:bCs/>
          <w:szCs w:val="36"/>
          <w:highlight w:val="none"/>
        </w:rPr>
        <w:fldChar w:fldCharType="end"/>
      </w:r>
      <w:r/>
    </w:p>
    <w:p>
      <w:pPr>
        <w:pStyle w:val="1007"/>
        <w:tabs>
          <w:tab w:val="right" w:pos="8306" w:leader="dot"/>
        </w:tabs>
      </w:pPr>
      <w:r>
        <w:rPr>
          <w:rFonts w:hint="eastAsia" w:ascii="宋体" w:hAnsi="宋体" w:cs="宋体"/>
          <w:bCs/>
          <w:szCs w:val="36"/>
          <w:highlight w:val="none"/>
        </w:rPr>
        <w:fldChar w:fldCharType="begin"/>
      </w:r>
      <w:r>
        <w:rPr>
          <w:rFonts w:hint="eastAsia" w:ascii="宋体" w:hAnsi="宋体" w:cs="宋体"/>
          <w:bCs/>
          <w:szCs w:val="36"/>
          <w:highlight w:val="none"/>
        </w:rPr>
        <w:instrText xml:space="preserve"> HYPERLINK \l _Toc16556 </w:instrText>
      </w:r>
      <w:r>
        <w:rPr>
          <w:rFonts w:hint="eastAsia" w:ascii="宋体" w:hAnsi="宋体" w:cs="宋体"/>
          <w:bCs/>
          <w:szCs w:val="36"/>
          <w:highlight w:val="none"/>
        </w:rPr>
        <w:fldChar w:fldCharType="separate"/>
      </w:r>
      <w:r>
        <w:rPr>
          <w:rFonts w:hint="eastAsia" w:ascii="宋体" w:hAnsi="宋体" w:cs="宋体"/>
          <w:highlight w:val="none"/>
        </w:rPr>
        <w:t xml:space="preserve">第五章 采购需求</w:t>
      </w:r>
      <w:r>
        <w:tab/>
      </w:r>
      <w:r>
        <w:fldChar w:fldCharType="begin"/>
      </w:r>
      <w:r>
        <w:instrText xml:space="preserve"> PAGEREF _Toc16556 \h </w:instrText>
      </w:r>
      <w:r>
        <w:fldChar w:fldCharType="separate"/>
      </w:r>
      <w:r>
        <w:t xml:space="preserve">32</w:t>
      </w:r>
      <w:r>
        <w:fldChar w:fldCharType="end"/>
      </w:r>
      <w:r>
        <w:rPr>
          <w:rFonts w:hint="eastAsia" w:ascii="宋体" w:hAnsi="宋体" w:cs="宋体"/>
          <w:bCs/>
          <w:szCs w:val="36"/>
          <w:highlight w:val="none"/>
        </w:rPr>
        <w:fldChar w:fldCharType="end"/>
      </w:r>
      <w:r/>
    </w:p>
    <w:p>
      <w:pPr>
        <w:pStyle w:val="1007"/>
        <w:tabs>
          <w:tab w:val="right" w:pos="8306" w:leader="dot"/>
        </w:tabs>
      </w:pPr>
      <w:r>
        <w:rPr>
          <w:rFonts w:hint="eastAsia" w:ascii="宋体" w:hAnsi="宋体" w:cs="宋体"/>
          <w:bCs/>
          <w:szCs w:val="36"/>
          <w:highlight w:val="none"/>
        </w:rPr>
        <w:fldChar w:fldCharType="begin"/>
      </w:r>
      <w:r>
        <w:rPr>
          <w:rFonts w:hint="eastAsia" w:ascii="宋体" w:hAnsi="宋体" w:cs="宋体"/>
          <w:bCs/>
          <w:szCs w:val="36"/>
          <w:highlight w:val="none"/>
        </w:rPr>
        <w:instrText xml:space="preserve"> HYPERLINK \l _Toc14098 </w:instrText>
      </w:r>
      <w:r>
        <w:rPr>
          <w:rFonts w:hint="eastAsia" w:ascii="宋体" w:hAnsi="宋体" w:cs="宋体"/>
          <w:bCs/>
          <w:szCs w:val="36"/>
          <w:highlight w:val="none"/>
        </w:rPr>
        <w:fldChar w:fldCharType="separate"/>
      </w:r>
      <w:r>
        <w:rPr>
          <w:rFonts w:hint="eastAsia" w:ascii="宋体" w:hAnsi="宋体" w:cs="宋体"/>
          <w:highlight w:val="none"/>
        </w:rPr>
        <w:t xml:space="preserve">第六章 拟签订的合同文本</w:t>
      </w:r>
      <w:r>
        <w:tab/>
      </w:r>
      <w:r>
        <w:fldChar w:fldCharType="begin"/>
      </w:r>
      <w:r>
        <w:instrText xml:space="preserve"> PAGEREF _Toc14098 \h </w:instrText>
      </w:r>
      <w:r>
        <w:fldChar w:fldCharType="separate"/>
      </w:r>
      <w:r>
        <w:t xml:space="preserve">42</w:t>
      </w:r>
      <w:r>
        <w:fldChar w:fldCharType="end"/>
      </w:r>
      <w:r>
        <w:rPr>
          <w:rFonts w:hint="eastAsia" w:ascii="宋体" w:hAnsi="宋体" w:cs="宋体"/>
          <w:bCs/>
          <w:szCs w:val="36"/>
          <w:highlight w:val="none"/>
        </w:rPr>
        <w:fldChar w:fldCharType="end"/>
      </w:r>
      <w:r/>
    </w:p>
    <w:p>
      <w:pPr>
        <w:pStyle w:val="1007"/>
        <w:tabs>
          <w:tab w:val="right" w:pos="8306" w:leader="dot"/>
        </w:tabs>
      </w:pPr>
      <w:r>
        <w:rPr>
          <w:rFonts w:hint="eastAsia" w:ascii="宋体" w:hAnsi="宋体" w:cs="宋体"/>
          <w:bCs/>
          <w:szCs w:val="36"/>
          <w:highlight w:val="none"/>
        </w:rPr>
        <w:fldChar w:fldCharType="begin"/>
      </w:r>
      <w:r>
        <w:rPr>
          <w:rFonts w:hint="eastAsia" w:ascii="宋体" w:hAnsi="宋体" w:cs="宋体"/>
          <w:bCs/>
          <w:szCs w:val="36"/>
          <w:highlight w:val="none"/>
        </w:rPr>
        <w:instrText xml:space="preserve"> HYPERLINK \l _Toc12124 </w:instrText>
      </w:r>
      <w:r>
        <w:rPr>
          <w:rFonts w:hint="eastAsia" w:ascii="宋体" w:hAnsi="宋体" w:cs="宋体"/>
          <w:bCs/>
          <w:szCs w:val="36"/>
          <w:highlight w:val="none"/>
        </w:rPr>
        <w:fldChar w:fldCharType="separate"/>
      </w:r>
      <w:r>
        <w:rPr>
          <w:rFonts w:hint="eastAsia"/>
          <w:highlight w:val="none"/>
        </w:rPr>
        <w:t xml:space="preserve">第七章 投标文件格式</w:t>
      </w:r>
      <w:r>
        <w:tab/>
      </w:r>
      <w:r>
        <w:fldChar w:fldCharType="begin"/>
      </w:r>
      <w:r>
        <w:instrText xml:space="preserve"> PAGEREF _Toc12124 \h </w:instrText>
      </w:r>
      <w:r>
        <w:fldChar w:fldCharType="separate"/>
      </w:r>
      <w:r>
        <w:t xml:space="preserve">45</w:t>
      </w:r>
      <w:r>
        <w:fldChar w:fldCharType="end"/>
      </w:r>
      <w:r>
        <w:rPr>
          <w:rFonts w:hint="eastAsia" w:ascii="宋体" w:hAnsi="宋体" w:cs="宋体"/>
          <w:bCs/>
          <w:szCs w:val="36"/>
          <w:highlight w:val="none"/>
        </w:rPr>
        <w:fldChar w:fldCharType="end"/>
      </w:r>
      <w:r/>
    </w:p>
    <w:p>
      <w:pPr>
        <w:ind w:left="199" w:hanging="199"/>
        <w:widowControl/>
        <w:rPr>
          <w:rFonts w:ascii="宋体" w:hAnsi="宋体" w:cs="宋体"/>
          <w:bCs/>
          <w:sz w:val="36"/>
          <w:szCs w:val="36"/>
          <w:highlight w:val="none"/>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Cs w:val="36"/>
          <w:highlight w:val="none"/>
        </w:rPr>
        <w:fldChar w:fldCharType="end"/>
      </w:r>
      <w:r/>
    </w:p>
    <w:p>
      <w:pPr>
        <w:pStyle w:val="989"/>
        <w:ind w:left="343" w:hanging="343"/>
        <w:rPr>
          <w:rFonts w:ascii="宋体" w:hAnsi="宋体" w:cs="宋体"/>
          <w:sz w:val="60"/>
          <w:szCs w:val="60"/>
          <w:highlight w:val="none"/>
        </w:rPr>
      </w:pPr>
      <w:r/>
      <w:bookmarkStart w:id="0" w:name="_Toc7811"/>
      <w:r/>
      <w:bookmarkStart w:id="1" w:name="_Toc4851"/>
      <w:r/>
      <w:bookmarkStart w:id="2" w:name="_Toc25964"/>
      <w:r>
        <w:rPr>
          <w:rFonts w:hint="eastAsia" w:ascii="宋体" w:hAnsi="宋体" w:cs="宋体"/>
          <w:highlight w:val="none"/>
        </w:rPr>
        <w:t xml:space="preserve">第一章 投标邀请</w:t>
      </w:r>
      <w:bookmarkEnd w:id="0"/>
      <w:r/>
      <w:bookmarkEnd w:id="1"/>
      <w:r/>
      <w:bookmarkEnd w:id="2"/>
      <w:r/>
      <w:r/>
    </w:p>
    <w:tbl>
      <w:tblPr>
        <w:tblStyle w:val="10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Pr>
        <w:tc>
          <w:tcPr>
            <w:tcW w:w="8522" w:type="dxa"/>
            <w:vAlign w:val="center"/>
            <w:textDirection w:val="lrTb"/>
            <w:noWrap w:val="false"/>
          </w:tcPr>
          <w:p>
            <w:pPr>
              <w:ind w:left="232" w:hanging="232"/>
              <w:spacing w:line="360" w:lineRule="auto"/>
              <w:rPr>
                <w:rStyle w:val="1037"/>
                <w:rFonts w:hAnsi="宋体" w:cs="宋体"/>
                <w:bCs/>
                <w:spacing w:val="2"/>
                <w:sz w:val="24"/>
                <w:szCs w:val="24"/>
                <w:highlight w:val="none"/>
              </w:rPr>
            </w:pPr>
            <w:r>
              <w:rPr>
                <w:rStyle w:val="1037"/>
                <w:rFonts w:hint="eastAsia" w:hAnsi="宋体" w:cs="宋体"/>
                <w:bCs/>
                <w:spacing w:val="2"/>
                <w:sz w:val="24"/>
                <w:szCs w:val="24"/>
                <w:highlight w:val="none"/>
              </w:rPr>
              <w:t xml:space="preserve">项目概况</w:t>
            </w:r>
            <w:r>
              <w:rPr>
                <w:sz w:val="24"/>
                <w:szCs w:val="24"/>
              </w:rPr>
            </w:r>
          </w:p>
          <w:p>
            <w:pPr>
              <w:ind w:firstLine="480"/>
              <w:spacing w:line="360" w:lineRule="auto"/>
              <w:rPr>
                <w:rStyle w:val="1037"/>
                <w:rFonts w:hAnsi="宋体" w:cs="宋体"/>
                <w:sz w:val="20"/>
                <w:szCs w:val="20"/>
                <w:highlight w:val="none"/>
              </w:rPr>
            </w:pPr>
            <w:r>
              <w:rPr>
                <w:rFonts w:hint="eastAsia" w:ascii="宋体" w:hAnsi="宋体" w:cs="宋体"/>
                <w:sz w:val="24"/>
                <w:szCs w:val="24"/>
                <w:highlight w:val="none"/>
                <w:lang w:eastAsia="zh-CN"/>
              </w:rPr>
              <w:t xml:space="preserve">经开区2026年委托第三方监测服务项目</w:t>
            </w:r>
            <w:r>
              <w:rPr>
                <w:rFonts w:hint="eastAsia" w:ascii="宋体" w:hAnsi="宋体" w:cs="宋体"/>
                <w:sz w:val="24"/>
                <w:szCs w:val="24"/>
                <w:highlight w:val="none"/>
              </w:rPr>
              <w:t xml:space="preserve">的潜在投标人应在“苏采云”系统获取招标文件，并于</w:t>
            </w:r>
            <w:r>
              <w:rPr>
                <w:rFonts w:hint="eastAsia" w:ascii="宋体" w:hAnsi="宋体" w:cs="宋体"/>
                <w:sz w:val="24"/>
                <w:szCs w:val="24"/>
                <w:highlight w:val="none"/>
                <w:lang w:eastAsia="zh-CN"/>
              </w:rPr>
              <w:t xml:space="preserve">2026年</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月</w:t>
            </w:r>
            <w:r>
              <w:rPr>
                <w:rFonts w:hint="eastAsia" w:ascii="宋体" w:hAnsi="宋体" w:cs="宋体"/>
                <w:sz w:val="24"/>
                <w:szCs w:val="24"/>
                <w:highlight w:val="none"/>
                <w:lang w:val="en-US" w:eastAsia="zh-CN"/>
              </w:rPr>
              <w:t xml:space="preserve">26</w:t>
            </w:r>
            <w:r>
              <w:rPr>
                <w:rFonts w:hint="eastAsia" w:ascii="宋体" w:hAnsi="宋体" w:cs="宋体"/>
                <w:sz w:val="24"/>
                <w:szCs w:val="24"/>
                <w:highlight w:val="none"/>
                <w:lang w:eastAsia="zh-CN"/>
              </w:rPr>
              <w:t xml:space="preserve">日</w:t>
            </w:r>
            <w:r>
              <w:rPr>
                <w:rFonts w:hint="eastAsia" w:ascii="宋体" w:hAnsi="宋体" w:cs="宋体"/>
                <w:sz w:val="24"/>
                <w:szCs w:val="24"/>
                <w:highlight w:val="none"/>
              </w:rPr>
              <w:t xml:space="preserve">09点</w:t>
            </w:r>
            <w:r>
              <w:rPr>
                <w:rFonts w:hint="eastAsia" w:ascii="宋体" w:hAnsi="宋体" w:cs="宋体"/>
                <w:sz w:val="24"/>
                <w:szCs w:val="24"/>
                <w:highlight w:val="none"/>
                <w:lang w:val="en-US" w:eastAsia="zh-CN"/>
              </w:rPr>
              <w:t xml:space="preserve">00</w:t>
            </w:r>
            <w:r>
              <w:rPr>
                <w:rFonts w:hint="eastAsia" w:ascii="宋体" w:hAnsi="宋体" w:cs="宋体"/>
                <w:sz w:val="24"/>
                <w:szCs w:val="24"/>
                <w:highlight w:val="none"/>
              </w:rPr>
              <w:t xml:space="preserve">分（北京时间）前提交投标文件。</w:t>
            </w:r>
            <w:r/>
          </w:p>
        </w:tc>
      </w:tr>
    </w:tbl>
    <w:p>
      <w:pPr>
        <w:ind w:left="229" w:hanging="229"/>
        <w:spacing w:line="360" w:lineRule="auto"/>
        <w:rPr>
          <w:rFonts w:ascii="宋体" w:hAnsi="宋体" w:cs="宋体"/>
          <w:b/>
          <w:sz w:val="24"/>
          <w:szCs w:val="24"/>
          <w:highlight w:val="none"/>
        </w:rPr>
      </w:pPr>
      <w:r>
        <w:rPr>
          <w:rFonts w:hint="eastAsia" w:ascii="宋体" w:hAnsi="宋体" w:cs="宋体"/>
          <w:b/>
          <w:sz w:val="24"/>
          <w:szCs w:val="24"/>
          <w:highlight w:val="none"/>
        </w:rPr>
        <w:t xml:space="preserve">一、项目基本情况</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1.项目编号：</w:t>
      </w:r>
      <w:r>
        <w:rPr>
          <w:rFonts w:hint="eastAsia" w:ascii="宋体" w:hAnsi="宋体" w:cs="宋体"/>
          <w:sz w:val="24"/>
          <w:szCs w:val="24"/>
          <w:highlight w:val="none"/>
          <w:lang w:eastAsia="zh-CN"/>
        </w:rPr>
        <w:t xml:space="preserve">JSZC-320412-CZJC-G2026-0001</w:t>
      </w:r>
      <w:r/>
    </w:p>
    <w:p>
      <w:pPr>
        <w:ind w:firstLine="480"/>
        <w:spacing w:line="360" w:lineRule="auto"/>
        <w:rPr>
          <w:rStyle w:val="1037"/>
          <w:rFonts w:hint="eastAsia" w:hAnsi="宋体" w:eastAsia="宋体" w:cs="宋体"/>
          <w:bCs/>
          <w:highlight w:val="none"/>
          <w:lang w:eastAsia="zh-CN"/>
        </w:rPr>
      </w:pPr>
      <w:r>
        <w:rPr>
          <w:rFonts w:hint="eastAsia" w:ascii="宋体" w:hAnsi="宋体" w:cs="宋体"/>
          <w:sz w:val="24"/>
          <w:szCs w:val="24"/>
          <w:highlight w:val="none"/>
        </w:rPr>
        <w:t xml:space="preserve">2.项目名称：</w:t>
      </w:r>
      <w:r>
        <w:rPr>
          <w:rFonts w:hint="eastAsia" w:ascii="宋体" w:hAnsi="宋体" w:cs="宋体"/>
          <w:sz w:val="24"/>
          <w:szCs w:val="24"/>
          <w:highlight w:val="none"/>
          <w:lang w:eastAsia="zh-CN"/>
        </w:rPr>
        <w:t xml:space="preserve">经开区2026年委托第三方监测服务项目</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3.采购方式：公开招标</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4.预算金额：</w:t>
      </w:r>
      <w:r>
        <w:rPr>
          <w:rFonts w:hint="eastAsia" w:ascii="宋体" w:hAnsi="宋体" w:eastAsia="宋体" w:cs="宋体"/>
          <w:sz w:val="24"/>
          <w:szCs w:val="24"/>
          <w:highlight w:val="none"/>
          <w:lang w:eastAsia="zh-CN"/>
        </w:rPr>
        <w:t xml:space="preserve">250万元</w:t>
      </w:r>
      <w:r>
        <w:rPr>
          <w:rFonts w:hint="eastAsia" w:ascii="宋体" w:hAnsi="宋体" w:eastAsia="宋体" w:cs="宋体"/>
          <w:color w:val="auto"/>
          <w:sz w:val="24"/>
          <w:szCs w:val="24"/>
          <w:highlight w:val="none"/>
          <w:lang w:val="en-US" w:eastAsia="zh-CN"/>
        </w:rPr>
        <w:t xml:space="preserve">(采购包1：90万元；采购包2：40万元；采购包3：30万元；采购包4：40万元；采购包5：50万元）</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5.最高限价：以《江苏省环境监测专业服务管理办法》、《江苏省环境监测专业服务收费标准》（苏价费[2006]397号）和《省物价局、省财政厅关于降低收费标准和实施收费减免的通知》为基准</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结算单价为</w:t>
      </w:r>
      <w:r>
        <w:rPr>
          <w:rFonts w:hint="eastAsia" w:ascii="宋体" w:hAnsi="宋体" w:eastAsia="宋体" w:cs="宋体"/>
          <w:b w:val="0"/>
          <w:bCs w:val="0"/>
          <w:color w:val="auto"/>
          <w:sz w:val="24"/>
          <w:szCs w:val="24"/>
          <w:highlight w:val="none"/>
          <w:u w:val="none"/>
        </w:rPr>
        <w:t xml:space="preserve">基准</w:t>
      </w:r>
      <w:r>
        <w:rPr>
          <w:rFonts w:hint="eastAsia" w:ascii="宋体" w:hAnsi="宋体" w:eastAsia="宋体" w:cs="宋体"/>
          <w:b w:val="0"/>
          <w:bCs w:val="0"/>
          <w:color w:val="auto"/>
          <w:sz w:val="24"/>
          <w:szCs w:val="24"/>
          <w:highlight w:val="none"/>
          <w:u w:val="none"/>
          <w:lang w:val="en-US" w:eastAsia="zh-CN"/>
        </w:rPr>
        <w:t xml:space="preserve">*（1-</w:t>
      </w:r>
      <w:r>
        <w:rPr>
          <w:rFonts w:hint="eastAsia" w:ascii="宋体" w:hAnsi="宋体" w:cs="宋体"/>
          <w:b w:val="0"/>
          <w:bCs w:val="0"/>
          <w:color w:val="auto"/>
          <w:sz w:val="24"/>
          <w:szCs w:val="24"/>
          <w:highlight w:val="none"/>
          <w:u w:val="none"/>
          <w:lang w:val="en-US" w:eastAsia="zh-CN"/>
        </w:rPr>
        <w:t xml:space="preserve">中标</w:t>
      </w:r>
      <w:r>
        <w:rPr>
          <w:rFonts w:hint="eastAsia" w:ascii="宋体" w:hAnsi="宋体" w:eastAsia="宋体" w:cs="宋体"/>
          <w:b w:val="0"/>
          <w:bCs w:val="0"/>
          <w:color w:val="auto"/>
          <w:sz w:val="24"/>
          <w:szCs w:val="24"/>
          <w:highlight w:val="none"/>
          <w:u w:val="none"/>
          <w:lang w:val="en-US" w:eastAsia="zh-CN"/>
        </w:rPr>
        <w:t xml:space="preserve">优惠率）</w:t>
      </w:r>
      <w:r>
        <w:rPr>
          <w:rFonts w:hint="eastAsia" w:ascii="宋体" w:hAnsi="宋体" w:cs="宋体"/>
          <w:b w:val="0"/>
          <w:bCs w:val="0"/>
          <w:color w:val="auto"/>
          <w:sz w:val="24"/>
          <w:szCs w:val="24"/>
          <w:highlight w:val="none"/>
          <w:u w:val="none"/>
          <w:lang w:val="en-US" w:eastAsia="zh-CN"/>
        </w:rPr>
        <w:t xml:space="preserve">。</w:t>
      </w:r>
      <w:r>
        <w:rPr>
          <w:rFonts w:hint="eastAsia" w:ascii="宋体" w:hAnsi="宋体" w:cs="宋体"/>
          <w:sz w:val="24"/>
          <w:szCs w:val="24"/>
          <w:highlight w:val="none"/>
        </w:rPr>
        <w:t xml:space="preserve">本项目</w:t>
      </w:r>
      <w:r>
        <w:rPr>
          <w:rFonts w:hint="eastAsia" w:ascii="宋体" w:hAnsi="宋体" w:cs="宋体"/>
          <w:sz w:val="24"/>
          <w:szCs w:val="24"/>
          <w:highlight w:val="none"/>
          <w:lang w:val="en-US" w:eastAsia="zh-CN"/>
        </w:rPr>
        <w:t xml:space="preserve">对</w:t>
      </w:r>
      <w:r>
        <w:rPr>
          <w:rFonts w:hint="eastAsia" w:ascii="宋体" w:hAnsi="宋体" w:cs="宋体"/>
          <w:sz w:val="24"/>
          <w:szCs w:val="24"/>
          <w:highlight w:val="none"/>
        </w:rPr>
        <w:t xml:space="preserve">优惠率</w:t>
      </w:r>
      <w:r>
        <w:rPr>
          <w:rFonts w:hint="eastAsia" w:ascii="宋体" w:hAnsi="宋体" w:cs="宋体"/>
          <w:sz w:val="24"/>
          <w:szCs w:val="24"/>
          <w:highlight w:val="none"/>
          <w:lang w:val="en-US" w:eastAsia="zh-CN"/>
        </w:rPr>
        <w:t xml:space="preserve">进行</w:t>
      </w:r>
      <w:r>
        <w:rPr>
          <w:rFonts w:hint="eastAsia" w:ascii="宋体" w:hAnsi="宋体" w:cs="宋体"/>
          <w:sz w:val="24"/>
          <w:szCs w:val="24"/>
          <w:highlight w:val="none"/>
        </w:rPr>
        <w:t xml:space="preserve">报价，30%≤优惠率&lt;100%</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否则视为无效投标</w:t>
      </w:r>
      <w:r>
        <w:rPr>
          <w:rFonts w:hint="eastAsia" w:ascii="宋体" w:hAnsi="宋体" w:cs="宋体"/>
          <w:sz w:val="24"/>
          <w:szCs w:val="24"/>
          <w:highlight w:val="none"/>
          <w:lang w:eastAsia="zh-CN"/>
        </w:rPr>
        <w:t xml:space="preserve">。</w:t>
      </w:r>
      <w:r/>
    </w:p>
    <w:p>
      <w:pPr>
        <w:ind w:firstLine="480"/>
        <w:spacing w:line="360" w:lineRule="auto"/>
        <w:rPr>
          <w:rFonts w:hint="eastAsia" w:ascii="宋体" w:hAnsi="宋体" w:cs="宋体"/>
          <w:sz w:val="24"/>
          <w:highlight w:val="none"/>
        </w:rPr>
      </w:pPr>
      <w:r>
        <w:rPr>
          <w:rFonts w:hint="eastAsia" w:ascii="宋体" w:hAnsi="宋体" w:cs="宋体"/>
          <w:sz w:val="24"/>
          <w:szCs w:val="24"/>
          <w:highlight w:val="none"/>
        </w:rPr>
        <w:t xml:space="preserve">6.采购需求：</w:t>
      </w:r>
      <w:r/>
    </w:p>
    <w:tbl>
      <w:tblPr>
        <w:tblStyle w:val="994"/>
        <w:tblW w:w="78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32"/>
        <w:gridCol w:w="2055"/>
        <w:gridCol w:w="1215"/>
        <w:gridCol w:w="3836"/>
      </w:tblGrid>
      <w:tr>
        <w:trPr>
          <w:jc w:val="center"/>
          <w:trHeight w:val="320"/>
        </w:trPr>
        <w:tc>
          <w:tcPr>
            <w:shd w:val="clear" w:color="auto" w:fill="auto"/>
            <w:tcBorders>
              <w:top w:val="single" w:color="000000" w:sz="8" w:space="0"/>
              <w:left w:val="single" w:color="000000" w:sz="8" w:space="0"/>
              <w:bottom w:val="single" w:color="000000" w:sz="8" w:space="0"/>
              <w:right w:val="single" w:color="000000" w:sz="8"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包号</w:t>
            </w:r>
            <w:r/>
          </w:p>
        </w:tc>
        <w:tc>
          <w:tcPr>
            <w:shd w:val="clear" w:color="auto" w:fill="auto"/>
            <w:tcBorders>
              <w:top w:val="single" w:color="000000" w:sz="8" w:space="0"/>
              <w:left w:val="single" w:color="000000" w:sz="8" w:space="0"/>
              <w:bottom w:val="single" w:color="000000" w:sz="8" w:space="0"/>
              <w:right w:val="single" w:color="000000" w:sz="8"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标的名称</w:t>
            </w:r>
            <w:r/>
          </w:p>
        </w:tc>
        <w:tc>
          <w:tcPr>
            <w:shd w:val="clear" w:color="auto" w:fill="auto"/>
            <w:tcBorders>
              <w:top w:val="single" w:color="000000" w:sz="8" w:space="0"/>
              <w:left w:val="single" w:color="000000" w:sz="8" w:space="0"/>
              <w:bottom w:val="single" w:color="000000" w:sz="8" w:space="0"/>
              <w:right w:val="single" w:color="000000" w:sz="8"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预算金额</w:t>
            </w:r>
            <w:r/>
          </w:p>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（万元）</w:t>
            </w:r>
            <w:r/>
          </w:p>
        </w:tc>
        <w:tc>
          <w:tcPr>
            <w:shd w:val="clear" w:color="auto" w:fill="auto"/>
            <w:tcBorders>
              <w:top w:val="single" w:color="000000" w:sz="8" w:space="0"/>
              <w:left w:val="single" w:color="000000" w:sz="8" w:space="0"/>
              <w:bottom w:val="single" w:color="000000" w:sz="8" w:space="0"/>
              <w:right w:val="single" w:color="000000" w:sz="8" w:space="0"/>
            </w:tcBorders>
            <w:tcW w:w="38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标的内容</w:t>
            </w:r>
            <w:r/>
          </w:p>
        </w:tc>
      </w:tr>
      <w:tr>
        <w:trPr>
          <w:jc w:val="center"/>
          <w:trHeight w:val="320"/>
        </w:trPr>
        <w:tc>
          <w:tcPr>
            <w:shd w:val="clear" w:color="auto" w:fill="auto"/>
            <w:tcBorders>
              <w:top w:val="single" w:color="000000" w:sz="8" w:space="0"/>
              <w:left w:val="single" w:color="000000" w:sz="8" w:space="0"/>
              <w:bottom w:val="single" w:color="000000" w:sz="8" w:space="0"/>
              <w:right w:val="single" w:color="000000" w:sz="8" w:space="0"/>
            </w:tcBorders>
            <w:tcW w:w="732"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执法、应急监测</w:t>
            </w:r>
            <w:r/>
          </w:p>
        </w:tc>
        <w:tc>
          <w:tcPr>
            <w:shd w:val="clear" w:color="auto" w:fill="auto"/>
            <w:tcBorders>
              <w:top w:val="single" w:color="000000" w:sz="8" w:space="0"/>
              <w:left w:val="single" w:color="000000" w:sz="8" w:space="0"/>
              <w:bottom w:val="single" w:color="000000" w:sz="8" w:space="0"/>
              <w:right w:val="single" w:color="000000" w:sz="8"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p>
        </w:tc>
        <w:tc>
          <w:tcPr>
            <w:shd w:val="clear" w:color="auto" w:fill="auto"/>
            <w:tcBorders>
              <w:top w:val="single" w:color="000000" w:sz="8" w:space="0"/>
              <w:left w:val="single" w:color="000000" w:sz="8" w:space="0"/>
              <w:bottom w:val="single" w:color="000000" w:sz="8" w:space="0"/>
              <w:right w:val="single" w:color="000000" w:sz="8" w:space="0"/>
            </w:tcBorders>
            <w:tcW w:w="38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对群众举报的信访执法进行相关监测，对突发性环境事件进行应急监测。</w:t>
            </w:r>
            <w:r/>
          </w:p>
        </w:tc>
      </w:tr>
      <w:tr>
        <w:trPr>
          <w:jc w:val="center"/>
          <w:trHeight w:val="320"/>
        </w:trPr>
        <w:tc>
          <w:tcPr>
            <w:shd w:val="clear" w:color="auto" w:fill="auto"/>
            <w:tcBorders>
              <w:top w:val="single" w:color="000000" w:sz="8" w:space="0"/>
              <w:left w:val="single" w:color="000000" w:sz="8" w:space="0"/>
              <w:bottom w:val="single" w:color="000000" w:sz="8" w:space="0"/>
              <w:right w:val="single" w:color="000000" w:sz="8" w:space="0"/>
            </w:tcBorders>
            <w:tcW w:w="732"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重点污染源双随机监测和监督性监测（横山桥镇+横林镇）</w:t>
            </w:r>
            <w:r/>
          </w:p>
        </w:tc>
        <w:tc>
          <w:tcPr>
            <w:shd w:val="clear" w:color="auto" w:fill="auto"/>
            <w:tcBorders>
              <w:top w:val="single" w:color="000000" w:sz="8" w:space="0"/>
              <w:left w:val="single" w:color="000000" w:sz="8" w:space="0"/>
              <w:bottom w:val="single" w:color="000000" w:sz="8" w:space="0"/>
              <w:right w:val="single" w:color="000000" w:sz="8"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auto"/>
            <w:tcBorders>
              <w:top w:val="single" w:color="000000" w:sz="8" w:space="0"/>
              <w:left w:val="single" w:color="000000" w:sz="8" w:space="0"/>
              <w:bottom w:val="single" w:color="000000" w:sz="8" w:space="0"/>
              <w:right w:val="single" w:color="000000" w:sz="8" w:space="0"/>
            </w:tcBorders>
            <w:tcW w:w="38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根据年度监管要求要求，完成重点污染源双随机监测和监督性监测。</w:t>
            </w:r>
            <w:r/>
          </w:p>
        </w:tc>
      </w:tr>
      <w:tr>
        <w:trPr>
          <w:jc w:val="center"/>
          <w:trHeight w:val="320"/>
        </w:trPr>
        <w:tc>
          <w:tcPr>
            <w:shd w:val="clear" w:color="auto" w:fill="auto"/>
            <w:tcBorders>
              <w:top w:val="single" w:color="000000" w:sz="8" w:space="0"/>
              <w:left w:val="single" w:color="000000" w:sz="8" w:space="0"/>
              <w:bottom w:val="single" w:color="000000" w:sz="8" w:space="0"/>
              <w:right w:val="single" w:color="000000" w:sz="8" w:space="0"/>
            </w:tcBorders>
            <w:tcW w:w="732"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重点污染源双随机监测和监督性监测</w:t>
            </w:r>
            <w:r>
              <w:rPr>
                <w:rFonts w:hint="eastAsia" w:ascii="宋体" w:hAnsi="宋体" w:eastAsia="宋体" w:cs="宋体"/>
                <w:i w:val="0"/>
                <w:iCs w:val="0"/>
                <w:color w:val="auto"/>
                <w:sz w:val="24"/>
                <w:szCs w:val="24"/>
                <w:highlight w:val="none"/>
                <w:u w:val="none"/>
                <w:lang w:val="en-US" w:eastAsia="zh-CN" w:bidi="ar"/>
              </w:rPr>
              <w:t xml:space="preserve">（潞城街道</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color w:val="auto"/>
                <w:sz w:val="24"/>
                <w:szCs w:val="24"/>
                <w:highlight w:val="none"/>
                <w:lang w:val="en-US" w:eastAsia="zh-CN"/>
              </w:rPr>
              <w:t xml:space="preserve">丁堰街道+戚墅堰街道</w:t>
            </w:r>
            <w:r>
              <w:rPr>
                <w:rFonts w:hint="eastAsia" w:ascii="宋体" w:hAnsi="宋体" w:eastAsia="宋体" w:cs="宋体"/>
                <w:i w:val="0"/>
                <w:iCs w:val="0"/>
                <w:color w:val="auto"/>
                <w:sz w:val="24"/>
                <w:szCs w:val="24"/>
                <w:highlight w:val="none"/>
                <w:u w:val="none"/>
                <w:lang w:val="en-US" w:eastAsia="zh-CN" w:bidi="ar"/>
              </w:rPr>
              <w:t xml:space="preserve">+遥观镇）</w:t>
            </w:r>
            <w:r/>
          </w:p>
        </w:tc>
        <w:tc>
          <w:tcPr>
            <w:shd w:val="clear" w:color="auto" w:fill="auto"/>
            <w:tcBorders>
              <w:top w:val="single" w:color="000000" w:sz="8" w:space="0"/>
              <w:left w:val="single" w:color="000000" w:sz="8" w:space="0"/>
              <w:bottom w:val="single" w:color="000000" w:sz="8" w:space="0"/>
              <w:right w:val="single" w:color="000000" w:sz="8"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Borders>
              <w:top w:val="single" w:color="000000" w:sz="8" w:space="0"/>
              <w:left w:val="single" w:color="000000" w:sz="8" w:space="0"/>
              <w:bottom w:val="single" w:color="000000" w:sz="8" w:space="0"/>
              <w:right w:val="single" w:color="000000" w:sz="8" w:space="0"/>
            </w:tcBorders>
            <w:tcW w:w="38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根据年度监管要求要求，完成重点污染源双随机监测和监督性监测。</w:t>
            </w:r>
            <w:r/>
          </w:p>
        </w:tc>
      </w:tr>
      <w:tr>
        <w:trPr>
          <w:jc w:val="center"/>
          <w:trHeight w:val="1517"/>
        </w:trPr>
        <w:tc>
          <w:tcPr>
            <w:shd w:val="clear" w:color="auto" w:fill="auto"/>
            <w:tcBorders>
              <w:top w:val="single" w:color="000000" w:sz="8" w:space="0"/>
              <w:left w:val="single" w:color="000000" w:sz="8" w:space="0"/>
              <w:bottom w:val="single" w:color="000000" w:sz="8" w:space="0"/>
              <w:right w:val="single" w:color="000000" w:sz="8"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大气、地表水、农村水体、农污设施、噪声等环境监测</w:t>
            </w:r>
            <w:r/>
          </w:p>
        </w:tc>
        <w:tc>
          <w:tcPr>
            <w:shd w:val="clear" w:color="auto" w:fill="auto"/>
            <w:tcBorders>
              <w:top w:val="single" w:color="000000" w:sz="8" w:space="0"/>
              <w:left w:val="single" w:color="000000" w:sz="8" w:space="0"/>
              <w:bottom w:val="single" w:color="000000" w:sz="8" w:space="0"/>
              <w:right w:val="single" w:color="000000" w:sz="8"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auto"/>
            <w:tcBorders>
              <w:top w:val="single" w:color="000000" w:sz="8" w:space="0"/>
              <w:left w:val="single" w:color="000000" w:sz="8" w:space="0"/>
              <w:bottom w:val="single" w:color="000000" w:sz="8" w:space="0"/>
              <w:right w:val="single" w:color="000000" w:sz="8" w:space="0"/>
            </w:tcBorders>
            <w:tcW w:w="38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根据省、市下发的年度监测任务，完成大气、地表水、农村水体、农污设施、噪声等区级环境监测任务。</w:t>
            </w:r>
            <w:r/>
          </w:p>
        </w:tc>
      </w:tr>
      <w:tr>
        <w:trPr>
          <w:jc w:val="center"/>
          <w:trHeight w:val="986"/>
        </w:trPr>
        <w:tc>
          <w:tcPr>
            <w:shd w:val="clear" w:color="auto" w:fill="auto"/>
            <w:tcBorders>
              <w:top w:val="single" w:color="000000" w:sz="8" w:space="0"/>
              <w:left w:val="single" w:color="000000" w:sz="8" w:space="0"/>
              <w:bottom w:val="single" w:color="000000" w:sz="8" w:space="0"/>
              <w:right w:val="single" w:color="000000" w:sz="8"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205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区级地表水监测</w:t>
            </w:r>
            <w:r/>
          </w:p>
        </w:tc>
        <w:tc>
          <w:tcPr>
            <w:shd w:val="clear" w:color="auto" w:fill="auto"/>
            <w:tcBorders>
              <w:top w:val="single" w:color="000000" w:sz="8" w:space="0"/>
              <w:left w:val="single" w:color="000000" w:sz="8" w:space="0"/>
              <w:bottom w:val="single" w:color="000000" w:sz="8" w:space="0"/>
              <w:right w:val="single" w:color="000000" w:sz="8"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shd w:val="clear" w:color="auto" w:fill="auto"/>
            <w:tcBorders>
              <w:top w:val="single" w:color="000000" w:sz="8" w:space="0"/>
              <w:left w:val="single" w:color="000000" w:sz="8" w:space="0"/>
              <w:bottom w:val="single" w:color="000000" w:sz="8" w:space="0"/>
              <w:right w:val="single" w:color="000000" w:sz="8" w:space="0"/>
            </w:tcBorders>
            <w:tcW w:w="38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根据经开区</w:t>
            </w:r>
            <w:r>
              <w:rPr>
                <w:rFonts w:hint="eastAsia" w:ascii="宋体" w:hAnsi="宋体" w:cs="宋体"/>
                <w:i w:val="0"/>
                <w:iCs w:val="0"/>
                <w:color w:val="000000"/>
                <w:sz w:val="24"/>
                <w:szCs w:val="24"/>
                <w:highlight w:val="none"/>
                <w:u w:val="none"/>
                <w:lang w:val="en-US" w:eastAsia="zh-CN" w:bidi="ar"/>
              </w:rPr>
              <w:t xml:space="preserve">的区级监测</w:t>
            </w:r>
            <w:r>
              <w:rPr>
                <w:rFonts w:hint="eastAsia" w:ascii="宋体" w:hAnsi="宋体" w:eastAsia="宋体" w:cs="宋体"/>
                <w:i w:val="0"/>
                <w:iCs w:val="0"/>
                <w:color w:val="000000"/>
                <w:sz w:val="24"/>
                <w:szCs w:val="24"/>
                <w:highlight w:val="none"/>
                <w:u w:val="none"/>
                <w:lang w:val="en-US" w:eastAsia="zh-CN" w:bidi="ar"/>
              </w:rPr>
              <w:t xml:space="preserve">要求，完成相关河道的周测和月测。</w:t>
            </w:r>
            <w:r/>
          </w:p>
        </w:tc>
      </w:tr>
    </w:tbl>
    <w:p>
      <w:pPr>
        <w:spacing w:line="360" w:lineRule="auto"/>
        <w:rPr>
          <w:rFonts w:hint="eastAsia" w:ascii="宋体" w:hAnsi="宋体" w:cs="宋体"/>
          <w:sz w:val="24"/>
          <w:highlight w:val="none"/>
        </w:rPr>
      </w:pPr>
      <w:r>
        <w:rPr>
          <w:rFonts w:hint="eastAsia"/>
          <w:color w:val="auto"/>
          <w:sz w:val="24"/>
          <w:highlight w:val="none"/>
        </w:rPr>
        <w:t xml:space="preserve">本项目共</w:t>
      </w:r>
      <w:r>
        <w:rPr>
          <w:rFonts w:hint="eastAsia"/>
          <w:color w:val="auto"/>
          <w:sz w:val="24"/>
          <w:highlight w:val="none"/>
          <w:lang w:val="en-US" w:eastAsia="zh-CN"/>
        </w:rPr>
        <w:t xml:space="preserve">5</w:t>
      </w:r>
      <w:r>
        <w:rPr>
          <w:rFonts w:hint="eastAsia"/>
          <w:color w:val="auto"/>
          <w:sz w:val="24"/>
          <w:highlight w:val="none"/>
        </w:rPr>
        <w:t xml:space="preserve">个采购包，</w:t>
      </w:r>
      <w:r>
        <w:rPr>
          <w:rFonts w:hint="eastAsia"/>
          <w:color w:val="auto"/>
          <w:sz w:val="24"/>
          <w:highlight w:val="none"/>
          <w:lang w:val="en-US" w:eastAsia="zh-CN"/>
        </w:rPr>
        <w:t xml:space="preserve">投标人</w:t>
      </w:r>
      <w:r>
        <w:rPr>
          <w:rFonts w:hint="eastAsia"/>
          <w:color w:val="auto"/>
          <w:sz w:val="24"/>
          <w:highlight w:val="none"/>
        </w:rPr>
        <w:t xml:space="preserve">可以投其中任意一个或几个采购包，在</w:t>
      </w:r>
      <w:r>
        <w:rPr>
          <w:rFonts w:hint="eastAsia"/>
          <w:color w:val="auto"/>
          <w:sz w:val="24"/>
          <w:highlight w:val="none"/>
          <w:lang w:val="en-US" w:eastAsia="zh-CN"/>
        </w:rPr>
        <w:t xml:space="preserve">投标</w:t>
      </w:r>
      <w:r>
        <w:rPr>
          <w:rFonts w:hint="eastAsia"/>
          <w:color w:val="auto"/>
          <w:sz w:val="24"/>
          <w:highlight w:val="none"/>
        </w:rPr>
        <w:t xml:space="preserve">文件中注明所投采购包并响应该采购包全部内容。定标时按采购包顺序确定</w:t>
      </w:r>
      <w:r>
        <w:rPr>
          <w:rFonts w:hint="eastAsia"/>
          <w:color w:val="auto"/>
          <w:sz w:val="24"/>
          <w:highlight w:val="none"/>
          <w:lang w:val="en-US" w:eastAsia="zh-CN"/>
        </w:rPr>
        <w:t xml:space="preserve">中标</w:t>
      </w:r>
      <w:r>
        <w:rPr>
          <w:rFonts w:hint="eastAsia"/>
          <w:color w:val="auto"/>
          <w:sz w:val="24"/>
          <w:highlight w:val="none"/>
        </w:rPr>
        <w:t xml:space="preserve">候选人（采购包1→采购包2→...→采购包</w:t>
      </w:r>
      <w:r>
        <w:rPr>
          <w:rFonts w:hint="eastAsia"/>
          <w:color w:val="auto"/>
          <w:sz w:val="24"/>
          <w:highlight w:val="none"/>
          <w:lang w:val="en-US" w:eastAsia="zh-CN"/>
        </w:rPr>
        <w:t xml:space="preserve">5</w:t>
      </w:r>
      <w:r>
        <w:rPr>
          <w:rFonts w:hint="eastAsia"/>
          <w:color w:val="auto"/>
          <w:sz w:val="24"/>
          <w:highlight w:val="none"/>
        </w:rPr>
        <w:t xml:space="preserve">），每个</w:t>
      </w:r>
      <w:r>
        <w:rPr>
          <w:rFonts w:hint="eastAsia"/>
          <w:color w:val="auto"/>
          <w:sz w:val="24"/>
          <w:highlight w:val="none"/>
          <w:lang w:val="en-US" w:eastAsia="zh-CN"/>
        </w:rPr>
        <w:t xml:space="preserve">投标人</w:t>
      </w:r>
      <w:r>
        <w:rPr>
          <w:rFonts w:hint="eastAsia"/>
          <w:color w:val="auto"/>
          <w:sz w:val="24"/>
          <w:highlight w:val="none"/>
        </w:rPr>
        <w:t xml:space="preserve">仅限</w:t>
      </w:r>
      <w:r>
        <w:rPr>
          <w:rFonts w:hint="eastAsia"/>
          <w:color w:val="auto"/>
          <w:sz w:val="24"/>
          <w:highlight w:val="none"/>
          <w:lang w:val="en-US" w:eastAsia="zh-CN"/>
        </w:rPr>
        <w:t xml:space="preserve">中标</w:t>
      </w:r>
      <w:r>
        <w:rPr>
          <w:rFonts w:hint="eastAsia"/>
          <w:color w:val="auto"/>
          <w:sz w:val="24"/>
          <w:highlight w:val="none"/>
        </w:rPr>
        <w:t xml:space="preserve">一个采购包，前面</w:t>
      </w:r>
      <w:r>
        <w:rPr>
          <w:rFonts w:hint="eastAsia"/>
          <w:color w:val="auto"/>
          <w:sz w:val="24"/>
          <w:highlight w:val="none"/>
          <w:lang w:val="en-US" w:eastAsia="zh-CN"/>
        </w:rPr>
        <w:t xml:space="preserve">采购包</w:t>
      </w:r>
      <w:r>
        <w:rPr>
          <w:rFonts w:hint="eastAsia"/>
          <w:color w:val="auto"/>
          <w:sz w:val="24"/>
          <w:highlight w:val="none"/>
        </w:rPr>
        <w:t xml:space="preserve">已定为</w:t>
      </w:r>
      <w:r>
        <w:rPr>
          <w:rFonts w:hint="eastAsia"/>
          <w:color w:val="auto"/>
          <w:sz w:val="24"/>
          <w:highlight w:val="none"/>
          <w:lang w:val="en-US" w:eastAsia="zh-CN"/>
        </w:rPr>
        <w:t xml:space="preserve">中标供应商</w:t>
      </w:r>
      <w:r>
        <w:rPr>
          <w:rFonts w:hint="eastAsia"/>
          <w:color w:val="auto"/>
          <w:sz w:val="24"/>
          <w:highlight w:val="none"/>
        </w:rPr>
        <w:t xml:space="preserve">的自动放弃后续</w:t>
      </w:r>
      <w:r>
        <w:rPr>
          <w:rFonts w:hint="eastAsia"/>
          <w:color w:val="auto"/>
          <w:sz w:val="24"/>
          <w:highlight w:val="none"/>
          <w:lang w:val="en-US" w:eastAsia="zh-CN"/>
        </w:rPr>
        <w:t xml:space="preserve">采购包</w:t>
      </w:r>
      <w:r>
        <w:rPr>
          <w:rFonts w:hint="eastAsia"/>
          <w:color w:val="auto"/>
          <w:sz w:val="24"/>
          <w:highlight w:val="none"/>
        </w:rPr>
        <w:t xml:space="preserve">的</w:t>
      </w:r>
      <w:r>
        <w:rPr>
          <w:rFonts w:hint="eastAsia"/>
          <w:color w:val="auto"/>
          <w:sz w:val="24"/>
          <w:highlight w:val="none"/>
          <w:lang w:val="en-US" w:eastAsia="zh-CN"/>
        </w:rPr>
        <w:t xml:space="preserve">中标</w:t>
      </w:r>
      <w:r>
        <w:rPr>
          <w:rFonts w:hint="eastAsia"/>
          <w:color w:val="auto"/>
          <w:sz w:val="24"/>
          <w:highlight w:val="none"/>
        </w:rPr>
        <w:t xml:space="preserve">资格，由第二</w:t>
      </w:r>
      <w:r>
        <w:rPr>
          <w:rFonts w:hint="eastAsia"/>
          <w:color w:val="auto"/>
          <w:sz w:val="24"/>
          <w:highlight w:val="none"/>
          <w:lang w:val="en-US" w:eastAsia="zh-CN"/>
        </w:rPr>
        <w:t xml:space="preserve">中标</w:t>
      </w:r>
      <w:r>
        <w:rPr>
          <w:rFonts w:hint="eastAsia"/>
          <w:color w:val="auto"/>
          <w:sz w:val="24"/>
          <w:highlight w:val="none"/>
        </w:rPr>
        <w:t xml:space="preserve">候选人递补，以此类推</w:t>
      </w:r>
      <w:r>
        <w:rPr>
          <w:rFonts w:hint="eastAsia"/>
          <w:color w:val="auto"/>
          <w:sz w:val="24"/>
          <w:highlight w:val="none"/>
          <w:lang w:eastAsia="zh-CN"/>
        </w:rPr>
        <w:t xml:space="preserve">。</w:t>
      </w:r>
      <w:r>
        <w:rPr>
          <w:rFonts w:hint="eastAsia"/>
          <w:color w:val="auto"/>
          <w:sz w:val="24"/>
          <w:highlight w:val="none"/>
        </w:rPr>
        <w:t xml:space="preserve"> 某一采购包实质性响应单位不足3家则该采购包废标。</w:t>
      </w:r>
      <w:r/>
    </w:p>
    <w:p>
      <w:pPr>
        <w:numPr>
          <w:ilvl w:val="0"/>
          <w:numId w:val="2"/>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sz w:val="24"/>
          <w:highlight w:val="none"/>
        </w:rPr>
        <w:t xml:space="preserve">合同</w:t>
      </w:r>
      <w:r>
        <w:rPr>
          <w:rFonts w:hint="eastAsia" w:ascii="宋体" w:hAnsi="宋体" w:eastAsia="宋体" w:cs="宋体"/>
          <w:sz w:val="24"/>
          <w:szCs w:val="24"/>
          <w:highlight w:val="none"/>
        </w:rPr>
        <w:t xml:space="preserve">履行</w:t>
      </w:r>
      <w:r>
        <w:rPr>
          <w:rFonts w:hint="eastAsia" w:ascii="宋体" w:hAnsi="宋体" w:eastAsia="宋体" w:cs="宋体"/>
          <w:sz w:val="24"/>
          <w:highlight w:val="none"/>
        </w:rPr>
        <w:t xml:space="preserve">期限：</w:t>
      </w:r>
      <w:r>
        <w:rPr>
          <w:rFonts w:hint="eastAsia" w:ascii="宋体" w:hAnsi="宋体" w:eastAsia="宋体" w:cs="宋体"/>
          <w:color w:val="auto"/>
          <w:sz w:val="24"/>
          <w:szCs w:val="24"/>
          <w:highlight w:val="none"/>
        </w:rPr>
        <w:t xml:space="preserve">自合同签订之日起1年。 </w:t>
      </w:r>
      <w:r/>
    </w:p>
    <w:p>
      <w:pPr>
        <w:numPr>
          <w:ilvl w:val="0"/>
          <w:numId w:val="2"/>
        </w:num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本项目是否接受联合体：□是  ■否。</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9.本项目是否接受进口产品响应：□是  ■否。</w:t>
      </w:r>
      <w:r/>
    </w:p>
    <w:p>
      <w:pPr>
        <w:ind w:left="229" w:hanging="229"/>
        <w:spacing w:line="360" w:lineRule="auto"/>
        <w:rPr>
          <w:rFonts w:ascii="宋体" w:hAnsi="宋体" w:cs="宋体"/>
          <w:b/>
          <w:sz w:val="24"/>
          <w:szCs w:val="24"/>
          <w:highlight w:val="none"/>
        </w:rPr>
      </w:pPr>
      <w:r>
        <w:rPr>
          <w:rFonts w:hint="eastAsia" w:ascii="宋体" w:hAnsi="宋体" w:cs="宋体"/>
          <w:b/>
          <w:sz w:val="24"/>
          <w:szCs w:val="24"/>
          <w:highlight w:val="none"/>
        </w:rPr>
        <w:t xml:space="preserve">二、申请人的资格要求（须同时满足）</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1.满足《中华人民共和国政府采购法》第二十二条规定以及下列情形：</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2.落实政府采购政策需满足的资格要求：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2.1 中小企业政策</w:t>
      </w:r>
      <w:r/>
    </w:p>
    <w:p>
      <w:pPr>
        <w:ind w:firstLine="480"/>
        <w:spacing w:line="360" w:lineRule="auto"/>
        <w:rPr>
          <w:rFonts w:ascii="宋体" w:hAnsi="宋体" w:cs="宋体"/>
          <w:sz w:val="24"/>
          <w:szCs w:val="24"/>
          <w:highlight w:val="none"/>
        </w:rPr>
      </w:pPr>
      <w:r>
        <w:rPr>
          <w:rFonts w:ascii="Wingdings 2" w:hAnsi="Wingdings 2" w:eastAsia="Wingdings 2" w:cs="Wingdings 2"/>
          <w:sz w:val="24"/>
          <w:szCs w:val="24"/>
          <w:highlight w:val="none"/>
        </w:rPr>
        <w:t xml:space="preserve">£</w:t>
      </w:r>
      <w:r>
        <w:rPr>
          <w:rFonts w:hint="eastAsia" w:ascii="宋体" w:hAnsi="宋体" w:cs="宋体"/>
          <w:sz w:val="24"/>
          <w:szCs w:val="24"/>
          <w:highlight w:val="none"/>
        </w:rPr>
        <w:t xml:space="preserve">本项目不专门面向中小企业预留采购份额。</w:t>
      </w:r>
      <w:r/>
    </w:p>
    <w:p>
      <w:pPr>
        <w:ind w:firstLine="480"/>
        <w:spacing w:line="360" w:lineRule="auto"/>
        <w:rPr>
          <w:rFonts w:ascii="宋体" w:hAnsi="宋体" w:cs="宋体"/>
          <w:sz w:val="24"/>
          <w:szCs w:val="24"/>
          <w:highlight w:val="none"/>
        </w:rPr>
      </w:pPr>
      <w:r/>
      <w:bookmarkStart w:id="3" w:name="OLE_LINK3"/>
      <w:r>
        <w:rPr>
          <w:rFonts w:hint="eastAsia" w:ascii="宋体" w:hAnsi="宋体" w:cs="宋体"/>
          <w:sz w:val="24"/>
          <w:szCs w:val="24"/>
          <w:highlight w:val="none"/>
        </w:rPr>
        <w:t xml:space="preserve">■本项目专门面向  ■中小 </w:t>
      </w:r>
      <w:r>
        <w:rPr>
          <w:rFonts w:ascii="Wingdings 2" w:hAnsi="Wingdings 2" w:eastAsia="Wingdings 2" w:cs="Wingdings 2"/>
          <w:sz w:val="24"/>
          <w:szCs w:val="24"/>
          <w:highlight w:val="none"/>
        </w:rPr>
        <w:t xml:space="preserve">£</w:t>
      </w:r>
      <w:r>
        <w:rPr>
          <w:rFonts w:hint="eastAsia" w:ascii="宋体" w:hAnsi="宋体" w:cs="宋体"/>
          <w:sz w:val="24"/>
          <w:szCs w:val="24"/>
          <w:highlight w:val="none"/>
        </w:rPr>
        <w:t xml:space="preserve">小微企业 采购。</w:t>
      </w:r>
      <w:bookmarkEnd w:id="3"/>
      <w:r>
        <w:rPr>
          <w:rFonts w:hint="eastAsia" w:ascii="宋体" w:hAnsi="宋体" w:cs="宋体"/>
          <w:sz w:val="24"/>
          <w:szCs w:val="24"/>
          <w:highlight w:val="none"/>
        </w:rPr>
        <w:t xml:space="preserve">即：提供的货物全部由符合政策要求的中小/小微企业制造、服务全部由符合政策要求的中小/小微企业承接。</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2.2 其它落实政府采购政策的资格要求（如有）：</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3.本项目的特定资格要求：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3.1本项目是否接受分支机构参与投标：□是   ■否；</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3.2 本项目是否属于政府购买服务：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□否</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■是，公益一类事业单位、使用事业编制且由财政拨款保障的群团组织，不得作为承接主体；</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3.3其他特定资格要求：</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投标人环保信用等级在省级监测服务机构环保信用评价系统查询结果需为蓝色或绿色（或同等级别如B级（良）及以上），提供查询结果证明材料扫描件加盖公章。</w:t>
      </w:r>
      <w:r/>
    </w:p>
    <w:p>
      <w:pPr>
        <w:ind w:left="229" w:hanging="229"/>
        <w:spacing w:line="360" w:lineRule="auto"/>
        <w:rPr>
          <w:rFonts w:ascii="宋体" w:hAnsi="宋体" w:cs="宋体"/>
          <w:b/>
          <w:sz w:val="24"/>
          <w:szCs w:val="24"/>
          <w:highlight w:val="none"/>
        </w:rPr>
      </w:pPr>
      <w:r>
        <w:rPr>
          <w:rFonts w:hint="eastAsia" w:ascii="宋体" w:hAnsi="宋体" w:cs="宋体"/>
          <w:b/>
          <w:sz w:val="24"/>
          <w:szCs w:val="24"/>
          <w:highlight w:val="none"/>
        </w:rPr>
        <w:t xml:space="preserve">三、获取招标文件</w:t>
      </w:r>
      <w:r/>
    </w:p>
    <w:p>
      <w:pPr>
        <w:pStyle w:val="999"/>
        <w:ind w:firstLine="480"/>
        <w:rPr>
          <w:rFonts w:ascii="宋体" w:hAnsi="宋体" w:cs="宋体"/>
          <w:sz w:val="24"/>
          <w:highlight w:val="none"/>
        </w:rPr>
      </w:pPr>
      <w:r>
        <w:rPr>
          <w:rFonts w:hint="eastAsia" w:ascii="宋体" w:hAnsi="宋体" w:cs="宋体"/>
          <w:sz w:val="24"/>
          <w:highlight w:val="none"/>
        </w:rPr>
        <w:t xml:space="preserve">1.时间：自招标文件公告发布之日起5个工作日。</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2.地点：“苏采云”系统</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3.方式：供应商持CA数字认证证书登录“苏采云”系统获取电子版招标文件。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4.售价：0元。</w:t>
      </w:r>
      <w:r/>
    </w:p>
    <w:p>
      <w:pPr>
        <w:ind w:left="229" w:hanging="229"/>
        <w:spacing w:line="360" w:lineRule="auto"/>
        <w:rPr>
          <w:rFonts w:ascii="宋体" w:hAnsi="宋体" w:cs="宋体"/>
          <w:b/>
          <w:sz w:val="24"/>
          <w:szCs w:val="24"/>
          <w:highlight w:val="none"/>
        </w:rPr>
      </w:pPr>
      <w:r>
        <w:rPr>
          <w:rFonts w:hint="eastAsia" w:ascii="宋体" w:hAnsi="宋体" w:cs="宋体"/>
          <w:b/>
          <w:sz w:val="24"/>
          <w:szCs w:val="24"/>
          <w:highlight w:val="none"/>
        </w:rPr>
        <w:t xml:space="preserve">四、提交投标文件截止时间、开标时间和地点</w:t>
      </w:r>
      <w:r/>
    </w:p>
    <w:p>
      <w:pPr>
        <w:ind w:firstLine="480"/>
        <w:spacing w:line="360" w:lineRule="auto"/>
        <w:rPr>
          <w:rFonts w:ascii="宋体" w:hAnsi="宋体" w:cs="宋体"/>
          <w:sz w:val="24"/>
          <w:szCs w:val="24"/>
          <w:highlight w:val="none"/>
        </w:rPr>
      </w:pPr>
      <w:r>
        <w:rPr>
          <w:rFonts w:hint="eastAsia" w:ascii="宋体" w:hAnsi="宋体" w:cs="宋体"/>
          <w:sz w:val="24"/>
          <w:highlight w:val="none"/>
        </w:rPr>
        <w:t xml:space="preserve">投标截止时间、开标时间：</w:t>
      </w:r>
      <w:r>
        <w:rPr>
          <w:rFonts w:hint="eastAsia" w:ascii="宋体" w:hAnsi="宋体" w:cs="宋体"/>
          <w:sz w:val="24"/>
          <w:szCs w:val="24"/>
          <w:highlight w:val="none"/>
          <w:lang w:eastAsia="zh-CN"/>
        </w:rPr>
        <w:t xml:space="preserve">2026年</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月</w:t>
      </w:r>
      <w:r>
        <w:rPr>
          <w:rFonts w:hint="eastAsia" w:ascii="宋体" w:hAnsi="宋体" w:cs="宋体"/>
          <w:sz w:val="24"/>
          <w:szCs w:val="24"/>
          <w:highlight w:val="none"/>
          <w:lang w:val="en-US" w:eastAsia="zh-CN"/>
        </w:rPr>
        <w:t xml:space="preserve">26</w:t>
      </w:r>
      <w:r>
        <w:rPr>
          <w:rFonts w:hint="eastAsia" w:ascii="宋体" w:hAnsi="宋体" w:cs="宋体"/>
          <w:sz w:val="24"/>
          <w:szCs w:val="24"/>
          <w:highlight w:val="none"/>
          <w:lang w:eastAsia="zh-CN"/>
        </w:rPr>
        <w:t xml:space="preserve">日</w:t>
      </w:r>
      <w:r>
        <w:rPr>
          <w:rFonts w:hint="eastAsia" w:ascii="宋体" w:hAnsi="宋体" w:cs="宋体"/>
          <w:sz w:val="24"/>
          <w:szCs w:val="24"/>
          <w:highlight w:val="none"/>
        </w:rPr>
        <w:t xml:space="preserve">09点</w:t>
      </w:r>
      <w:r>
        <w:rPr>
          <w:rFonts w:hint="eastAsia" w:ascii="宋体" w:hAnsi="宋体" w:cs="宋体"/>
          <w:sz w:val="24"/>
          <w:szCs w:val="24"/>
          <w:highlight w:val="none"/>
          <w:lang w:val="en-US" w:eastAsia="zh-CN"/>
        </w:rPr>
        <w:t xml:space="preserve">00</w:t>
      </w:r>
      <w:r>
        <w:rPr>
          <w:rFonts w:hint="eastAsia" w:ascii="宋体" w:hAnsi="宋体" w:cs="宋体"/>
          <w:sz w:val="24"/>
          <w:szCs w:val="24"/>
          <w:highlight w:val="none"/>
        </w:rPr>
        <w:t xml:space="preserve">分（北京时间）。</w:t>
      </w:r>
      <w:r/>
    </w:p>
    <w:p>
      <w:pPr>
        <w:ind w:firstLine="480"/>
        <w:spacing w:line="360" w:lineRule="auto"/>
        <w:rPr>
          <w:rFonts w:ascii="宋体" w:hAnsi="宋体" w:cs="宋体"/>
          <w:sz w:val="24"/>
          <w:highlight w:val="none"/>
        </w:rPr>
      </w:pPr>
      <w:r/>
      <w:bookmarkStart w:id="4" w:name="_Toc35393625"/>
      <w:r/>
      <w:bookmarkStart w:id="5" w:name="_Toc28359084"/>
      <w:r/>
      <w:bookmarkStart w:id="6" w:name="_Toc35393794"/>
      <w:r/>
      <w:bookmarkStart w:id="7" w:name="_Toc28359007"/>
      <w:r>
        <w:rPr>
          <w:rFonts w:hint="eastAsia" w:ascii="宋体" w:hAnsi="宋体" w:cs="宋体"/>
          <w:sz w:val="24"/>
          <w:highlight w:val="none"/>
        </w:rPr>
        <w:t xml:space="preserve">地点：“苏采云”系统“开标大厅”。</w:t>
      </w:r>
      <w:r/>
    </w:p>
    <w:p>
      <w:pPr>
        <w:ind w:left="229" w:hanging="229"/>
        <w:spacing w:line="360" w:lineRule="auto"/>
        <w:rPr>
          <w:rFonts w:ascii="宋体" w:hAnsi="宋体" w:cs="宋体"/>
          <w:b/>
          <w:sz w:val="24"/>
          <w:szCs w:val="24"/>
          <w:highlight w:val="none"/>
        </w:rPr>
      </w:pPr>
      <w:r>
        <w:rPr>
          <w:rFonts w:hint="eastAsia" w:ascii="宋体" w:hAnsi="宋体" w:cs="宋体"/>
          <w:b/>
          <w:sz w:val="24"/>
          <w:szCs w:val="24"/>
          <w:highlight w:val="none"/>
        </w:rPr>
        <w:t xml:space="preserve">五、公告期限</w:t>
      </w:r>
      <w:bookmarkEnd w:id="4"/>
      <w:r/>
      <w:bookmarkEnd w:id="5"/>
      <w:r/>
      <w:bookmarkEnd w:id="6"/>
      <w:r/>
      <w:bookmarkEnd w:id="7"/>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自本公告发布之日起5个工作日。</w:t>
      </w:r>
      <w:r/>
    </w:p>
    <w:p>
      <w:pPr>
        <w:numPr>
          <w:ilvl w:val="0"/>
          <w:numId w:val="3"/>
        </w:numPr>
        <w:ind w:left="229" w:hanging="229"/>
        <w:spacing w:line="360" w:lineRule="auto"/>
        <w:rPr>
          <w:rFonts w:ascii="宋体" w:hAnsi="宋体" w:cs="宋体"/>
          <w:b/>
          <w:sz w:val="24"/>
          <w:szCs w:val="24"/>
          <w:highlight w:val="none"/>
        </w:rPr>
      </w:pPr>
      <w:r/>
      <w:bookmarkStart w:id="8" w:name="_Toc35393626"/>
      <w:r/>
      <w:bookmarkStart w:id="9" w:name="_Toc35393795"/>
      <w:r>
        <w:rPr>
          <w:rFonts w:hint="eastAsia" w:ascii="宋体" w:hAnsi="宋体" w:cs="宋体"/>
          <w:b/>
          <w:sz w:val="24"/>
          <w:szCs w:val="24"/>
          <w:highlight w:val="none"/>
        </w:rPr>
        <w:t xml:space="preserve">其他补充事宜</w:t>
      </w:r>
      <w:bookmarkEnd w:id="8"/>
      <w:r/>
      <w:bookmarkEnd w:id="9"/>
      <w:r/>
      <w:r/>
    </w:p>
    <w:p>
      <w:pPr>
        <w:ind w:firstLine="480"/>
        <w:jc w:val="left"/>
        <w:spacing w:line="360" w:lineRule="auto"/>
        <w:rPr>
          <w:rFonts w:ascii="宋体" w:hAnsi="宋体" w:cs="宋体"/>
          <w:b/>
          <w:sz w:val="24"/>
          <w:szCs w:val="24"/>
          <w:highlight w:val="none"/>
        </w:rPr>
      </w:pPr>
      <w:r>
        <w:rPr>
          <w:rFonts w:hint="eastAsia" w:ascii="宋体" w:hAnsi="宋体" w:cs="宋体"/>
          <w:sz w:val="24"/>
          <w:szCs w:val="24"/>
          <w:highlight w:val="none"/>
        </w:rPr>
        <w:t xml:space="preserve">1．本项目需要落实的政府采购政策：促进中小企业及监狱企业发展、促进残疾人就业、政府采购节能产品、环境标志产品、支持乡村产业振兴管理、正版软件、政府采购创新产品政策、绿色采购政策具体落实情况详见招标文件。</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 根据省</w:t>
      </w:r>
      <w:r>
        <w:rPr>
          <w:rFonts w:hint="eastAsia" w:ascii="宋体" w:hAnsi="宋体" w:cs="宋体"/>
          <w:sz w:val="24"/>
          <w:szCs w:val="24"/>
          <w:highlight w:val="none"/>
        </w:rPr>
        <w:t xml:space="preserve">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 有关本次招标的事项若存在变动或修改，敬请及时关注“江苏政府采购网” 、“常州市政府采购网”发布的公告。</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4.关于常州市中小企业政府采购信用融资：</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229" w:hanging="229"/>
        <w:spacing w:line="360" w:lineRule="auto"/>
        <w:rPr>
          <w:rFonts w:ascii="宋体" w:hAnsi="宋体" w:cs="宋体"/>
          <w:b/>
          <w:sz w:val="24"/>
          <w:szCs w:val="24"/>
          <w:highlight w:val="none"/>
        </w:rPr>
      </w:pPr>
      <w:r/>
      <w:bookmarkStart w:id="10" w:name="_Toc35393627"/>
      <w:r/>
      <w:bookmarkStart w:id="11" w:name="_Toc28359008"/>
      <w:r/>
      <w:bookmarkStart w:id="12" w:name="_Toc35393796"/>
      <w:r/>
      <w:bookmarkStart w:id="13" w:name="_Toc28359085"/>
      <w:r>
        <w:rPr>
          <w:rFonts w:hint="eastAsia" w:ascii="宋体" w:hAnsi="宋体" w:cs="宋体"/>
          <w:b/>
          <w:sz w:val="24"/>
          <w:szCs w:val="24"/>
          <w:highlight w:val="none"/>
        </w:rPr>
        <w:t xml:space="preserve">七、对本项目提出询问，请按以下方式联系。</w:t>
      </w:r>
      <w:bookmarkEnd w:id="10"/>
      <w:r/>
      <w:bookmarkEnd w:id="11"/>
      <w:r/>
      <w:bookmarkEnd w:id="12"/>
      <w:r/>
      <w:bookmarkEnd w:id="13"/>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spacing w:line="360" w:lineRule="auto"/>
        <w:rPr>
          <w:rFonts w:ascii="宋体" w:hAnsi="宋体" w:cs="宋体"/>
          <w:sz w:val="24"/>
          <w:szCs w:val="24"/>
          <w:highlight w:val="none"/>
        </w:rPr>
      </w:pPr>
      <w:r/>
      <w:bookmarkStart w:id="14" w:name="_Toc28359009"/>
      <w:r/>
      <w:bookmarkStart w:id="15" w:name="_Toc28359086"/>
      <w:r>
        <w:rPr>
          <w:rFonts w:hint="eastAsia" w:ascii="宋体" w:hAnsi="宋体" w:cs="宋体"/>
          <w:sz w:val="24"/>
          <w:szCs w:val="24"/>
          <w:highlight w:val="none"/>
        </w:rPr>
        <w:t xml:space="preserve">单位名称：常州市生态环境局常州经济开发区分局</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单位地址：</w:t>
      </w:r>
      <w:r>
        <w:rPr>
          <w:rFonts w:hint="eastAsia" w:asciiTheme="minorEastAsia" w:hAnsiTheme="minorEastAsia"/>
          <w:sz w:val="24"/>
          <w:szCs w:val="24"/>
          <w:highlight w:val="none"/>
        </w:rPr>
        <w:t xml:space="preserve">常州市经济开发区东方东路168号</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联系人：</w:t>
      </w:r>
      <w:r>
        <w:rPr>
          <w:rFonts w:hint="eastAsia" w:asciiTheme="minorEastAsia" w:hAnsiTheme="minorEastAsia"/>
          <w:color w:val="auto"/>
          <w:sz w:val="24"/>
          <w:szCs w:val="24"/>
          <w:highlight w:val="none"/>
          <w:lang w:val="en-US" w:eastAsia="zh-CN"/>
        </w:rPr>
        <w:t xml:space="preserve">蒋女士</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联系电话：0519-</w:t>
      </w:r>
      <w:r>
        <w:rPr>
          <w:rFonts w:hint="eastAsia" w:ascii="宋体" w:hAnsi="宋体" w:cs="宋体"/>
          <w:sz w:val="24"/>
          <w:szCs w:val="24"/>
          <w:highlight w:val="none"/>
          <w:lang w:eastAsia="zh-CN"/>
        </w:rPr>
        <w:t xml:space="preserve">89866225</w:t>
      </w:r>
      <w:r>
        <w:rPr>
          <w:rFonts w:hint="eastAsia" w:ascii="宋体" w:hAnsi="宋体" w:cs="宋体"/>
          <w:sz w:val="24"/>
          <w:szCs w:val="24"/>
          <w:highlight w:val="non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2.采购代理机构信息</w:t>
      </w:r>
      <w:bookmarkEnd w:id="14"/>
      <w:r/>
      <w:bookmarkEnd w:id="15"/>
      <w:r/>
      <w:r/>
    </w:p>
    <w:p>
      <w:pPr>
        <w:ind w:firstLine="480"/>
        <w:spacing w:line="360" w:lineRule="auto"/>
        <w:rPr>
          <w:rFonts w:ascii="宋体" w:hAnsi="宋体" w:cs="宋体"/>
          <w:sz w:val="24"/>
          <w:szCs w:val="24"/>
          <w:highlight w:val="none"/>
        </w:rPr>
      </w:pPr>
      <w:r/>
      <w:bookmarkStart w:id="16" w:name="_Toc28359010"/>
      <w:r/>
      <w:bookmarkStart w:id="17" w:name="_Toc28359087"/>
      <w:r>
        <w:rPr>
          <w:rFonts w:hint="eastAsia" w:ascii="宋体" w:hAnsi="宋体" w:cs="宋体"/>
          <w:sz w:val="24"/>
          <w:szCs w:val="24"/>
          <w:highlight w:val="none"/>
        </w:rPr>
        <w:t xml:space="preserve">单位名称：常州金诚招投标有限公司</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单位地址：常州市新北区汉江路368号金城大厦1910室</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联系人：袁涵</w:t>
      </w:r>
      <w:r/>
    </w:p>
    <w:p>
      <w:pPr>
        <w:ind w:firstLine="480"/>
        <w:spacing w:line="360" w:lineRule="auto"/>
        <w:rPr>
          <w:highlight w:val="none"/>
        </w:rPr>
      </w:pPr>
      <w:r>
        <w:rPr>
          <w:rFonts w:hint="eastAsia" w:ascii="宋体" w:hAnsi="宋体" w:cs="宋体"/>
          <w:sz w:val="24"/>
          <w:szCs w:val="24"/>
          <w:highlight w:val="none"/>
        </w:rPr>
        <w:t xml:space="preserve">联系电话：0519-85183350</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3.项目联系方式</w:t>
      </w:r>
      <w:bookmarkEnd w:id="16"/>
      <w:r/>
      <w:bookmarkEnd w:id="17"/>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项目联系人：袁涵</w:t>
      </w:r>
      <w:r/>
    </w:p>
    <w:p>
      <w:pPr>
        <w:ind w:firstLine="480"/>
        <w:spacing w:line="360" w:lineRule="auto"/>
        <w:rPr>
          <w:rFonts w:ascii="宋体" w:hAnsi="宋体" w:cs="宋体"/>
          <w:sz w:val="24"/>
          <w:szCs w:val="24"/>
          <w:highlight w:val="none"/>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sz w:val="24"/>
          <w:szCs w:val="24"/>
          <w:highlight w:val="none"/>
        </w:rPr>
        <w:t xml:space="preserve">电      话：0519-85183350</w:t>
      </w:r>
      <w:r/>
    </w:p>
    <w:p>
      <w:pPr>
        <w:pStyle w:val="989"/>
        <w:ind w:left="343" w:hanging="343"/>
        <w:rPr>
          <w:rFonts w:ascii="宋体" w:hAnsi="宋体" w:cs="宋体"/>
          <w:highlight w:val="none"/>
        </w:rPr>
      </w:pPr>
      <w:r/>
      <w:bookmarkStart w:id="18" w:name="_Toc6354"/>
      <w:r/>
      <w:bookmarkStart w:id="19" w:name="_Toc5561"/>
      <w:r/>
      <w:bookmarkStart w:id="20" w:name="_Toc12322"/>
      <w:r>
        <w:rPr>
          <w:rFonts w:hint="eastAsia" w:ascii="宋体" w:hAnsi="宋体" w:cs="宋体"/>
          <w:highlight w:val="none"/>
        </w:rPr>
        <w:t xml:space="preserve">第二章 投标人须知</w:t>
      </w:r>
      <w:bookmarkEnd w:id="18"/>
      <w:r/>
      <w:bookmarkEnd w:id="19"/>
      <w:r/>
      <w:bookmarkEnd w:id="20"/>
      <w:r/>
      <w:r/>
    </w:p>
    <w:p>
      <w:pPr>
        <w:ind w:left="267" w:hanging="267"/>
        <w:jc w:val="center"/>
        <w:spacing w:line="360" w:lineRule="auto"/>
        <w:rPr>
          <w:rFonts w:ascii="宋体" w:hAnsi="宋体" w:cs="宋体"/>
          <w:b/>
          <w:sz w:val="28"/>
          <w:szCs w:val="28"/>
          <w:highlight w:val="none"/>
        </w:rPr>
      </w:pPr>
      <w:r>
        <w:rPr>
          <w:rFonts w:hint="eastAsia" w:ascii="宋体" w:hAnsi="宋体" w:cs="宋体"/>
          <w:b/>
          <w:sz w:val="28"/>
          <w:szCs w:val="28"/>
          <w:highlight w:val="none"/>
        </w:rPr>
        <w:t xml:space="preserve">投标人须知资料表</w:t>
      </w:r>
      <w:r/>
    </w:p>
    <w:p>
      <w:pPr>
        <w:ind w:left="228" w:hanging="228"/>
        <w:spacing w:line="360" w:lineRule="auto"/>
        <w:rPr>
          <w:rFonts w:ascii="宋体" w:hAnsi="宋体" w:cs="宋体"/>
          <w:sz w:val="24"/>
          <w:highlight w:val="none"/>
        </w:rPr>
      </w:pPr>
      <w:r>
        <w:rPr>
          <w:rFonts w:hint="eastAsia" w:ascii="宋体" w:hAnsi="宋体" w:cs="宋体"/>
          <w:sz w:val="24"/>
          <w:highlight w:val="none"/>
        </w:rPr>
        <w:t xml:space="preserve">本表是对投标人须知的具体补充和修改，如有矛盾，均以本资料表为准。</w:t>
      </w:r>
      <w:r/>
    </w:p>
    <w:p>
      <w:pPr>
        <w:ind w:left="228" w:hanging="228"/>
        <w:spacing w:line="360" w:lineRule="auto"/>
        <w:rPr>
          <w:rFonts w:ascii="宋体" w:hAnsi="宋体" w:cs="宋体"/>
          <w:sz w:val="24"/>
          <w:szCs w:val="24"/>
          <w:highlight w:val="none"/>
        </w:rPr>
      </w:pPr>
      <w:r>
        <w:rPr>
          <w:rFonts w:hint="eastAsia" w:ascii="宋体" w:hAnsi="宋体" w:cs="宋体"/>
          <w:sz w:val="24"/>
          <w:highlight w:val="none"/>
        </w:rPr>
        <w:t xml:space="preserve">标记“</w:t>
      </w:r>
      <w:r>
        <w:rPr>
          <w:rFonts w:hint="eastAsia" w:ascii="宋体" w:hAnsi="宋体" w:cs="宋体"/>
          <w:sz w:val="24"/>
          <w:szCs w:val="24"/>
          <w:highlight w:val="none"/>
        </w:rPr>
        <w:t xml:space="preserve">■</w:t>
      </w:r>
      <w:r>
        <w:rPr>
          <w:rFonts w:hint="eastAsia" w:ascii="宋体" w:hAnsi="宋体" w:cs="宋体"/>
          <w:sz w:val="24"/>
          <w:highlight w:val="none"/>
        </w:rPr>
        <w:t xml:space="preserve">”的选项意为适用于本项目，标记“</w:t>
      </w:r>
      <w:r>
        <w:rPr>
          <w:rFonts w:hint="eastAsia" w:ascii="宋体" w:hAnsi="宋体" w:cs="宋体"/>
          <w:sz w:val="24"/>
          <w:szCs w:val="24"/>
          <w:highlight w:val="none"/>
        </w:rPr>
        <w:t xml:space="preserve">□</w:t>
      </w:r>
      <w:r>
        <w:rPr>
          <w:rFonts w:hint="eastAsia" w:ascii="宋体" w:hAnsi="宋体" w:cs="宋体"/>
          <w:sz w:val="24"/>
          <w:highlight w:val="none"/>
        </w:rPr>
        <w:t xml:space="preserve">”的选项意为不适用于本项目</w:t>
      </w:r>
      <w:r>
        <w:rPr>
          <w:rFonts w:hint="eastAsia" w:ascii="宋体" w:hAnsi="宋体" w:cs="宋体"/>
          <w:sz w:val="24"/>
          <w:szCs w:val="24"/>
          <w:highlight w:val="none"/>
        </w:rPr>
        <w:t xml:space="preserve">。</w:t>
      </w:r>
      <w:r/>
    </w:p>
    <w:tbl>
      <w:tblPr>
        <w:tblStyle w:val="994"/>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1516"/>
        <w:gridCol w:w="6668"/>
      </w:tblGrid>
      <w:tr>
        <w:trPr>
          <w:jc w:val="center"/>
          <w:trHeight w:val="594"/>
          <w:tblHeader/>
        </w:trPr>
        <w:tc>
          <w:tcPr>
            <w:tcW w:w="1122"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条款号</w:t>
            </w:r>
            <w:r/>
          </w:p>
        </w:tc>
        <w:tc>
          <w:tcPr>
            <w:tcW w:w="1516"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条目</w:t>
            </w:r>
            <w:r/>
          </w:p>
        </w:tc>
        <w:tc>
          <w:tcPr>
            <w:tcW w:w="6668"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内容</w:t>
            </w:r>
            <w:r/>
          </w:p>
        </w:tc>
      </w:tr>
      <w:tr>
        <w:trPr>
          <w:jc w:val="center"/>
          <w:trHeight w:val="20"/>
        </w:trPr>
        <w:tc>
          <w:tcPr>
            <w:tcW w:w="1122"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2.2</w:t>
            </w:r>
            <w:r/>
          </w:p>
        </w:tc>
        <w:tc>
          <w:tcPr>
            <w:tcW w:w="1516"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项目属性</w:t>
            </w:r>
            <w:r/>
          </w:p>
        </w:tc>
        <w:tc>
          <w:tcPr>
            <w:tcW w:w="6668" w:type="dxa"/>
            <w:vAlign w:val="center"/>
            <w:textDirection w:val="lrTb"/>
            <w:noWrap w:val="false"/>
          </w:tcPr>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项目属性：</w:t>
            </w:r>
            <w:r/>
          </w:p>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■服务</w:t>
            </w:r>
            <w:r/>
          </w:p>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□货物</w:t>
            </w:r>
            <w:r/>
          </w:p>
        </w:tc>
      </w:tr>
      <w:tr>
        <w:trPr>
          <w:jc w:val="center"/>
          <w:trHeight w:val="20"/>
        </w:trPr>
        <w:tc>
          <w:tcPr>
            <w:tcW w:w="1122"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2.3</w:t>
            </w:r>
            <w:r/>
          </w:p>
        </w:tc>
        <w:tc>
          <w:tcPr>
            <w:tcW w:w="1516"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科研仪器设备</w:t>
            </w:r>
            <w:r/>
          </w:p>
        </w:tc>
        <w:tc>
          <w:tcPr>
            <w:tcW w:w="6668" w:type="dxa"/>
            <w:vAlign w:val="center"/>
            <w:textDirection w:val="lrTb"/>
            <w:noWrap w:val="false"/>
          </w:tcPr>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是否属于科研仪器设备采购项目：</w:t>
            </w:r>
            <w:r/>
          </w:p>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□是</w:t>
            </w:r>
            <w:r/>
          </w:p>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■否</w:t>
            </w:r>
            <w:r/>
          </w:p>
        </w:tc>
      </w:tr>
      <w:tr>
        <w:trPr>
          <w:jc w:val="center"/>
          <w:trHeight w:val="20"/>
        </w:trPr>
        <w:tc>
          <w:tcPr>
            <w:tcW w:w="1122"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2.4</w:t>
            </w:r>
            <w:r/>
          </w:p>
        </w:tc>
        <w:tc>
          <w:tcPr>
            <w:tcW w:w="1516"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核心产品</w:t>
            </w:r>
            <w:r/>
          </w:p>
        </w:tc>
        <w:tc>
          <w:tcPr>
            <w:tcW w:w="6668" w:type="dxa"/>
            <w:vAlign w:val="center"/>
            <w:textDirection w:val="lrTb"/>
            <w:noWrap w:val="false"/>
          </w:tcPr>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■关于核心产品本项目不适用。</w:t>
            </w:r>
            <w:r/>
          </w:p>
          <w:p>
            <w:pPr>
              <w:ind w:left="228" w:hanging="228"/>
              <w:jc w:val="left"/>
              <w:spacing w:line="276" w:lineRule="auto"/>
              <w:rPr>
                <w:rFonts w:ascii="宋体" w:hAnsi="宋体" w:cs="宋体"/>
                <w:sz w:val="24"/>
                <w:szCs w:val="24"/>
                <w:highlight w:val="none"/>
              </w:rPr>
            </w:pPr>
            <w:r>
              <w:rPr>
                <w:rFonts w:ascii="Wingdings 2" w:hAnsi="Wingdings 2" w:eastAsia="Wingdings 2" w:cs="Wingdings 2"/>
                <w:sz w:val="24"/>
                <w:szCs w:val="24"/>
                <w:highlight w:val="none"/>
              </w:rPr>
              <w:t xml:space="preserve">£</w:t>
            </w:r>
            <w:r>
              <w:rPr>
                <w:rFonts w:hint="eastAsia" w:ascii="宋体" w:hAnsi="宋体" w:cs="宋体"/>
                <w:sz w:val="24"/>
                <w:szCs w:val="24"/>
                <w:highlight w:val="none"/>
              </w:rPr>
              <w:t xml:space="preserve">本项目为单一产品采购项目。</w:t>
            </w:r>
            <w:r/>
          </w:p>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□本项目为非单一产品采购项目，核心产品为： </w:t>
            </w:r>
            <w:r/>
          </w:p>
        </w:tc>
      </w:tr>
      <w:tr>
        <w:trPr>
          <w:jc w:val="center"/>
          <w:trHeight w:val="20"/>
        </w:trPr>
        <w:tc>
          <w:tcPr>
            <w:tcW w:w="1122" w:type="dxa"/>
            <w:vAlign w:val="center"/>
            <w:vMerge w:val="restart"/>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3.1</w:t>
            </w:r>
            <w:r/>
          </w:p>
        </w:tc>
        <w:tc>
          <w:tcPr>
            <w:tcW w:w="1516"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现场考察</w:t>
            </w:r>
            <w:r/>
          </w:p>
        </w:tc>
        <w:tc>
          <w:tcPr>
            <w:tcW w:w="6668" w:type="dxa"/>
            <w:vAlign w:val="center"/>
            <w:textDirection w:val="lrTb"/>
            <w:noWrap w:val="false"/>
          </w:tcPr>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■不组织</w:t>
            </w:r>
            <w:r/>
          </w:p>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□组织，考察时间：__年_月_日_点_分</w:t>
            </w:r>
            <w:r/>
          </w:p>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考察地点：____________。</w:t>
            </w:r>
            <w:r/>
          </w:p>
        </w:tc>
      </w:tr>
      <w:tr>
        <w:trPr>
          <w:jc w:val="center"/>
          <w:trHeight w:val="20"/>
        </w:trPr>
        <w:tc>
          <w:tcPr>
            <w:tcW w:w="1122" w:type="dxa"/>
            <w:vAlign w:val="center"/>
            <w:vMerge w:val="continue"/>
            <w:textDirection w:val="lrTb"/>
            <w:noWrap w:val="false"/>
          </w:tcPr>
          <w:p>
            <w:pPr>
              <w:ind w:left="228" w:hanging="228"/>
              <w:jc w:val="center"/>
              <w:spacing w:line="276" w:lineRule="auto"/>
              <w:rPr>
                <w:rFonts w:ascii="宋体" w:hAnsi="宋体" w:cs="宋体"/>
                <w:sz w:val="24"/>
                <w:szCs w:val="24"/>
                <w:highlight w:val="none"/>
              </w:rPr>
            </w:pPr>
            <w:r>
              <w:rPr>
                <w:rFonts w:ascii="宋体" w:hAnsi="宋体" w:cs="宋体"/>
                <w:sz w:val="24"/>
                <w:szCs w:val="24"/>
                <w:highlight w:val="none"/>
              </w:rPr>
            </w:r>
            <w:r/>
          </w:p>
        </w:tc>
        <w:tc>
          <w:tcPr>
            <w:tcW w:w="1516"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开标前答疑会</w:t>
            </w:r>
            <w:r/>
          </w:p>
        </w:tc>
        <w:tc>
          <w:tcPr>
            <w:tcW w:w="6668" w:type="dxa"/>
            <w:vAlign w:val="center"/>
            <w:textDirection w:val="lrTb"/>
            <w:noWrap w:val="false"/>
          </w:tcPr>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■不召开</w:t>
            </w:r>
            <w:r/>
          </w:p>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□召开，召开时间：__年_月_日_点_分</w:t>
            </w:r>
            <w:r/>
          </w:p>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召开地点：____________。</w:t>
            </w:r>
            <w:r/>
          </w:p>
        </w:tc>
      </w:tr>
      <w:tr>
        <w:trPr>
          <w:jc w:val="center"/>
          <w:trHeight w:val="20"/>
        </w:trPr>
        <w:tc>
          <w:tcPr>
            <w:tcW w:w="1122"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4.1</w:t>
            </w:r>
            <w:r/>
          </w:p>
        </w:tc>
        <w:tc>
          <w:tcPr>
            <w:tcW w:w="1516"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样品</w:t>
            </w:r>
            <w:r/>
          </w:p>
        </w:tc>
        <w:tc>
          <w:tcPr>
            <w:tcW w:w="6668" w:type="dxa"/>
            <w:vAlign w:val="center"/>
            <w:textDirection w:val="lrTb"/>
            <w:noWrap w:val="false"/>
          </w:tcPr>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投标样品递交：</w:t>
            </w:r>
            <w:r/>
          </w:p>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■不需要</w:t>
            </w:r>
            <w:r/>
          </w:p>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□需要，具体要求如下：</w:t>
            </w:r>
            <w:r/>
          </w:p>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（1）样品制作的标准和要求：详见采购需求</w:t>
            </w:r>
            <w:r/>
          </w:p>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（2）是否需要随样品提交相关检测报告：详见采购需求</w:t>
            </w:r>
            <w:r/>
          </w:p>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（3）样品递交要求：详见采购需求</w:t>
            </w:r>
            <w:r/>
          </w:p>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（4）未中标人样品退还：详见采购需求</w:t>
            </w:r>
            <w:r/>
          </w:p>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（5）中标人样品保管、封存及退还：详见采购需求</w:t>
            </w:r>
            <w:r/>
          </w:p>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（6）其他要求（如有）：详见采购需求</w:t>
            </w:r>
            <w:r/>
          </w:p>
        </w:tc>
      </w:tr>
      <w:tr>
        <w:trPr>
          <w:jc w:val="center"/>
          <w:trHeight w:val="565"/>
        </w:trPr>
        <w:tc>
          <w:tcPr>
            <w:tcW w:w="1122"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5.2.5</w:t>
            </w:r>
            <w:r/>
          </w:p>
        </w:tc>
        <w:tc>
          <w:tcPr>
            <w:tcW w:w="1516"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标的所属行业</w:t>
            </w:r>
            <w:r/>
          </w:p>
        </w:tc>
        <w:tc>
          <w:tcPr>
            <w:tcW w:w="6668" w:type="dxa"/>
            <w:vAlign w:val="center"/>
            <w:textDirection w:val="lrTb"/>
            <w:noWrap w:val="false"/>
          </w:tcPr>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本项目采购标的对应的中小企业划分标准所属行业：其他未列明行业 </w:t>
            </w:r>
            <w:r/>
          </w:p>
        </w:tc>
      </w:tr>
      <w:tr>
        <w:trPr>
          <w:jc w:val="center"/>
          <w:trHeight w:val="565"/>
        </w:trPr>
        <w:tc>
          <w:tcPr>
            <w:tcW w:w="1122"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11.2</w:t>
            </w:r>
            <w:r/>
          </w:p>
        </w:tc>
        <w:tc>
          <w:tcPr>
            <w:tcW w:w="1516"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投标报价</w:t>
            </w:r>
            <w:r/>
          </w:p>
        </w:tc>
        <w:tc>
          <w:tcPr>
            <w:tcW w:w="6668" w:type="dxa"/>
            <w:vAlign w:val="center"/>
            <w:textDirection w:val="lrTb"/>
            <w:noWrap w:val="false"/>
          </w:tcPr>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投标报价的特殊规定：</w:t>
            </w:r>
            <w:r/>
          </w:p>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□无</w:t>
            </w:r>
            <w:r/>
          </w:p>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■有，具体情形：30%≤优惠率&lt;100%</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否则视为无效投标</w:t>
            </w:r>
            <w:r>
              <w:rPr>
                <w:rFonts w:hint="eastAsia" w:ascii="宋体" w:hAnsi="宋体" w:cs="宋体"/>
                <w:sz w:val="24"/>
                <w:szCs w:val="24"/>
                <w:highlight w:val="none"/>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12</w:t>
            </w:r>
            <w:r/>
          </w:p>
        </w:tc>
        <w:tc>
          <w:tcPr>
            <w:tcW w:w="1516"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投标保证金</w:t>
            </w:r>
            <w:r/>
          </w:p>
        </w:tc>
        <w:tc>
          <w:tcPr>
            <w:tcW w:w="6668" w:type="dxa"/>
            <w:vAlign w:val="center"/>
            <w:textDirection w:val="lrTb"/>
            <w:noWrap w:val="false"/>
          </w:tcPr>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免收</w:t>
            </w:r>
            <w:r/>
          </w:p>
        </w:tc>
      </w:tr>
      <w:tr>
        <w:trPr>
          <w:jc w:val="center"/>
          <w:trHeight w:val="565"/>
        </w:trPr>
        <w:tc>
          <w:tcPr>
            <w:tcW w:w="1122"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13.1</w:t>
            </w:r>
            <w:r/>
          </w:p>
        </w:tc>
        <w:tc>
          <w:tcPr>
            <w:tcW w:w="1516"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投标有效期</w:t>
            </w:r>
            <w:r/>
          </w:p>
        </w:tc>
        <w:tc>
          <w:tcPr>
            <w:tcW w:w="6668" w:type="dxa"/>
            <w:vAlign w:val="center"/>
            <w:textDirection w:val="lrTb"/>
            <w:noWrap w:val="false"/>
          </w:tcPr>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自提交投标文件的截止之日起算60日历天。</w:t>
            </w:r>
            <w:r/>
          </w:p>
        </w:tc>
      </w:tr>
      <w:tr>
        <w:trPr>
          <w:jc w:val="center"/>
          <w:trHeight w:val="565"/>
        </w:trPr>
        <w:tc>
          <w:tcPr>
            <w:tcW w:w="1122"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25.5</w:t>
            </w:r>
            <w:r/>
          </w:p>
        </w:tc>
        <w:tc>
          <w:tcPr>
            <w:tcW w:w="1516"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分包</w:t>
            </w:r>
            <w:r/>
          </w:p>
        </w:tc>
        <w:tc>
          <w:tcPr>
            <w:tcW w:w="6668" w:type="dxa"/>
            <w:vAlign w:val="center"/>
            <w:textDirection w:val="lrTb"/>
            <w:noWrap w:val="false"/>
          </w:tcPr>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本项目的非主体、非关键性工作是否允许分包：</w:t>
            </w:r>
            <w:r/>
          </w:p>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■不允许</w:t>
            </w:r>
            <w:r/>
          </w:p>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□允许，具体要求：</w:t>
            </w:r>
            <w:r/>
          </w:p>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（1）可以分包履行的具体内容：_____；</w:t>
            </w:r>
            <w:r/>
          </w:p>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（2）允许分包的金额或者比例：_____；</w:t>
            </w:r>
            <w:r/>
          </w:p>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（3）其他要求：_____。</w:t>
            </w:r>
            <w:r/>
          </w:p>
        </w:tc>
      </w:tr>
      <w:tr>
        <w:trPr>
          <w:jc w:val="center"/>
          <w:trHeight w:val="565"/>
        </w:trPr>
        <w:tc>
          <w:tcPr>
            <w:tcW w:w="1122"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26.1</w:t>
            </w:r>
            <w:r/>
          </w:p>
        </w:tc>
        <w:tc>
          <w:tcPr>
            <w:tcW w:w="1516"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询问</w:t>
            </w:r>
            <w:r/>
          </w:p>
        </w:tc>
        <w:tc>
          <w:tcPr>
            <w:tcW w:w="6668" w:type="dxa"/>
            <w:vAlign w:val="center"/>
            <w:textDirection w:val="lrTb"/>
            <w:noWrap w:val="false"/>
          </w:tcPr>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询问送达形式：纸质书面送达。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26.2</w:t>
            </w:r>
            <w:r/>
          </w:p>
        </w:tc>
        <w:tc>
          <w:tcPr>
            <w:tcW w:w="1516"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质疑</w:t>
            </w:r>
            <w:r/>
          </w:p>
        </w:tc>
        <w:tc>
          <w:tcPr>
            <w:tcW w:w="6668" w:type="dxa"/>
            <w:vAlign w:val="center"/>
            <w:textDirection w:val="lrTb"/>
            <w:noWrap w:val="false"/>
          </w:tcPr>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质疑送达形式：纸质书面送达。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26.3</w:t>
            </w:r>
            <w:r/>
          </w:p>
        </w:tc>
        <w:tc>
          <w:tcPr>
            <w:tcW w:w="1516"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联系方式</w:t>
            </w:r>
            <w:r/>
          </w:p>
        </w:tc>
        <w:tc>
          <w:tcPr>
            <w:tcW w:w="6668" w:type="dxa"/>
            <w:vAlign w:val="center"/>
            <w:textDirection w:val="lrTb"/>
            <w:noWrap w:val="false"/>
          </w:tcPr>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接收询问和质疑的联系方式</w:t>
            </w:r>
            <w:r/>
          </w:p>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联系部门：常州金诚招投标有限公司；</w:t>
            </w:r>
            <w:r/>
          </w:p>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联系电话：0519-85183350；</w:t>
            </w:r>
            <w:r/>
          </w:p>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通讯地址：常州市新北区汉江路368号金城大厦1910室常州金诚招投标有限公司（综合办公室）。</w:t>
            </w:r>
            <w:r/>
          </w:p>
        </w:tc>
      </w:tr>
      <w:tr>
        <w:trPr>
          <w:jc w:val="center"/>
          <w:trHeight w:val="565"/>
        </w:trPr>
        <w:tc>
          <w:tcPr>
            <w:tcW w:w="1122"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27</w:t>
            </w:r>
            <w:r/>
          </w:p>
        </w:tc>
        <w:tc>
          <w:tcPr>
            <w:tcW w:w="1516"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代理费</w:t>
            </w:r>
            <w:r/>
          </w:p>
        </w:tc>
        <w:tc>
          <w:tcPr>
            <w:tcW w:w="6668" w:type="dxa"/>
            <w:vAlign w:val="center"/>
            <w:textDirection w:val="lrTb"/>
            <w:noWrap w:val="false"/>
          </w:tcPr>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收费对象：</w:t>
            </w:r>
            <w:r/>
          </w:p>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□采购人</w:t>
            </w:r>
            <w:r/>
          </w:p>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■中标人</w:t>
            </w:r>
            <w:r/>
          </w:p>
          <w:p>
            <w:pPr>
              <w:rPr>
                <w:rFonts w:ascii="宋体" w:hAnsi="宋体" w:cs="宋体"/>
                <w:sz w:val="24"/>
                <w:highlight w:val="none"/>
              </w:rPr>
            </w:pPr>
            <w:r>
              <w:rPr>
                <w:rFonts w:hint="eastAsia" w:ascii="宋体" w:hAnsi="宋体" w:cs="宋体"/>
                <w:sz w:val="24"/>
                <w:highlight w:val="none"/>
                <w:lang w:val="zh-TW"/>
              </w:rPr>
              <w:t xml:space="preserve">收费标准：</w:t>
            </w:r>
            <w:r>
              <w:rPr>
                <w:rFonts w:hint="eastAsia"/>
                <w:sz w:val="24"/>
                <w:highlight w:val="none"/>
                <w:lang w:val="zh-TW"/>
              </w:rPr>
              <w:t xml:space="preserve">收费比例按差额定率累进法计算：以</w:t>
            </w:r>
            <w:r>
              <w:rPr>
                <w:rFonts w:hint="eastAsia"/>
                <w:sz w:val="24"/>
                <w:highlight w:val="none"/>
                <w:lang w:val="en-US" w:eastAsia="zh-CN"/>
              </w:rPr>
              <w:t xml:space="preserve">各采购包预算</w:t>
            </w:r>
            <w:r>
              <w:rPr>
                <w:rFonts w:hint="eastAsia"/>
                <w:sz w:val="24"/>
                <w:highlight w:val="none"/>
                <w:lang w:val="zh-TW"/>
              </w:rPr>
              <w:t xml:space="preserve">金额为基数，按100万以下*1.5%计算、100万元（含）—500万元0.8%，</w:t>
            </w:r>
            <w:r>
              <w:rPr>
                <w:rFonts w:hint="eastAsia" w:ascii="宋体" w:hAnsi="宋体" w:cs="宋体"/>
                <w:sz w:val="24"/>
                <w:highlight w:val="none"/>
              </w:rPr>
              <w:t xml:space="preserve">代理服务费不足3000元的，按3000元收取；</w:t>
            </w:r>
            <w:r>
              <w:rPr>
                <w:rFonts w:hint="eastAsia"/>
                <w:sz w:val="24"/>
                <w:highlight w:val="none"/>
                <w:lang w:val="zh-TW"/>
              </w:rPr>
              <w:t xml:space="preserve">服务类项目代理服务费按年</w:t>
            </w:r>
            <w:r>
              <w:rPr>
                <w:rFonts w:hint="eastAsia"/>
                <w:sz w:val="24"/>
                <w:highlight w:val="none"/>
              </w:rPr>
              <w:t xml:space="preserve">中标</w:t>
            </w:r>
            <w:r>
              <w:rPr>
                <w:rFonts w:hint="eastAsia"/>
                <w:sz w:val="24"/>
                <w:highlight w:val="none"/>
                <w:lang w:val="zh-TW"/>
              </w:rPr>
              <w:t xml:space="preserve">金额*服务费率*服务年限计算，代理服务费按上述标准计算并一次性缴纳。</w:t>
            </w:r>
            <w:r/>
          </w:p>
          <w:p>
            <w:pPr>
              <w:ind w:left="228" w:hanging="228"/>
              <w:spacing w:line="276"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缴纳时间：中标后，领取中标通知书前</w:t>
            </w:r>
            <w:r>
              <w:rPr>
                <w:rFonts w:hint="eastAsia" w:ascii="宋体" w:hAnsi="宋体" w:cs="宋体"/>
                <w:sz w:val="24"/>
                <w:szCs w:val="24"/>
                <w:highlight w:val="none"/>
                <w:lang w:eastAsia="zh-CN"/>
              </w:rPr>
              <w:t xml:space="preserve">。</w:t>
            </w:r>
            <w:r/>
          </w:p>
        </w:tc>
      </w:tr>
      <w:tr>
        <w:trPr>
          <w:jc w:val="center"/>
          <w:trHeight w:val="565"/>
        </w:trPr>
        <w:tc>
          <w:tcPr>
            <w:tcW w:w="1122"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28</w:t>
            </w:r>
            <w:r/>
          </w:p>
        </w:tc>
        <w:tc>
          <w:tcPr>
            <w:tcW w:w="1516"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履约保证金</w:t>
            </w:r>
            <w:r/>
          </w:p>
        </w:tc>
        <w:tc>
          <w:tcPr>
            <w:tcW w:w="6668" w:type="dxa"/>
            <w:vAlign w:val="center"/>
            <w:textDirection w:val="lrTb"/>
            <w:noWrap w:val="false"/>
          </w:tcPr>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■免收</w:t>
            </w:r>
            <w:r/>
          </w:p>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□/元，由采购人自行收取</w:t>
            </w:r>
            <w:r/>
          </w:p>
        </w:tc>
      </w:tr>
      <w:tr>
        <w:trPr>
          <w:jc w:val="center"/>
          <w:trHeight w:val="1052"/>
        </w:trPr>
        <w:tc>
          <w:tcPr>
            <w:tcW w:w="1122"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29</w:t>
            </w:r>
            <w:r/>
          </w:p>
        </w:tc>
        <w:tc>
          <w:tcPr>
            <w:tcW w:w="1516" w:type="dxa"/>
            <w:vAlign w:val="center"/>
            <w:textDirection w:val="lrTb"/>
            <w:noWrap w:val="false"/>
          </w:tcPr>
          <w:p>
            <w:pPr>
              <w:ind w:left="228" w:hanging="228"/>
              <w:jc w:val="center"/>
              <w:spacing w:line="276" w:lineRule="auto"/>
              <w:rPr>
                <w:rFonts w:ascii="宋体" w:hAnsi="宋体" w:cs="宋体"/>
                <w:sz w:val="24"/>
                <w:szCs w:val="24"/>
                <w:highlight w:val="none"/>
              </w:rPr>
            </w:pPr>
            <w:r>
              <w:rPr>
                <w:rFonts w:hint="eastAsia" w:ascii="宋体" w:hAnsi="宋体" w:cs="宋体"/>
                <w:sz w:val="24"/>
                <w:szCs w:val="24"/>
                <w:highlight w:val="none"/>
              </w:rPr>
              <w:t xml:space="preserve">纸质投标文件</w:t>
            </w:r>
            <w:r/>
          </w:p>
        </w:tc>
        <w:tc>
          <w:tcPr>
            <w:tcW w:w="6668" w:type="dxa"/>
            <w:vAlign w:val="center"/>
            <w:textDirection w:val="lrTb"/>
            <w:noWrap w:val="false"/>
          </w:tcPr>
          <w:p>
            <w:pPr>
              <w:ind w:left="228" w:hanging="228"/>
              <w:jc w:val="left"/>
              <w:spacing w:line="276" w:lineRule="auto"/>
              <w:rPr>
                <w:rFonts w:ascii="宋体" w:hAnsi="宋体" w:cs="宋体"/>
                <w:sz w:val="24"/>
                <w:szCs w:val="24"/>
                <w:highlight w:val="none"/>
              </w:rPr>
            </w:pPr>
            <w:r>
              <w:rPr>
                <w:rFonts w:hint="eastAsia" w:ascii="宋体" w:hAnsi="宋体" w:cs="宋体"/>
                <w:sz w:val="24"/>
                <w:szCs w:val="24"/>
                <w:highlight w:val="none"/>
              </w:rPr>
              <w:t xml:space="preserve">中标人在签订合同前向代理机构提供正本1套纸质投标文件。</w:t>
            </w:r>
            <w:r/>
          </w:p>
        </w:tc>
      </w:tr>
    </w:tbl>
    <w:p>
      <w:pPr>
        <w:ind w:left="267" w:hanging="267"/>
        <w:jc w:val="center"/>
        <w:spacing w:line="360" w:lineRule="auto"/>
        <w:rPr>
          <w:rFonts w:ascii="宋体" w:hAnsi="宋体" w:cs="宋体"/>
          <w:b/>
          <w:sz w:val="28"/>
          <w:szCs w:val="28"/>
          <w:highlight w:val="none"/>
        </w:rPr>
      </w:pPr>
      <w:r>
        <w:rPr>
          <w:rFonts w:hint="eastAsia" w:ascii="宋体" w:hAnsi="宋体" w:cs="宋体"/>
          <w:sz w:val="24"/>
          <w:szCs w:val="24"/>
          <w:highlight w:val="none"/>
        </w:rPr>
        <w:br w:type="page" w:clear="all"/>
      </w:r>
      <w:r>
        <w:rPr>
          <w:rFonts w:hint="eastAsia" w:ascii="宋体" w:hAnsi="宋体" w:cs="宋体"/>
          <w:b/>
          <w:sz w:val="28"/>
          <w:szCs w:val="28"/>
          <w:highlight w:val="none"/>
        </w:rPr>
        <w:t xml:space="preserve">投标人须知</w:t>
      </w:r>
      <w:r/>
    </w:p>
    <w:p>
      <w:pPr>
        <w:ind w:left="267" w:hanging="267"/>
        <w:jc w:val="center"/>
        <w:spacing w:line="360" w:lineRule="auto"/>
        <w:rPr>
          <w:rFonts w:ascii="宋体" w:hAnsi="宋体" w:cs="宋体"/>
          <w:b/>
          <w:sz w:val="28"/>
          <w:szCs w:val="28"/>
          <w:highlight w:val="none"/>
        </w:rPr>
      </w:pPr>
      <w:r/>
      <w:bookmarkStart w:id="21" w:name="_Toc150774618"/>
      <w:r/>
      <w:bookmarkStart w:id="22" w:name="_Toc151193832"/>
      <w:r/>
      <w:bookmarkStart w:id="23" w:name="_Toc151193616"/>
      <w:r/>
      <w:bookmarkStart w:id="24" w:name="_Toc151193688"/>
      <w:r/>
      <w:bookmarkStart w:id="25" w:name="_Toc264969208"/>
      <w:r/>
      <w:bookmarkStart w:id="26" w:name="_Toc226337214"/>
      <w:r/>
      <w:bookmarkStart w:id="27" w:name="_Toc150480756"/>
      <w:r/>
      <w:bookmarkStart w:id="28" w:name="_Toc195842883"/>
      <w:r/>
      <w:bookmarkStart w:id="29" w:name="_Toc305158786"/>
      <w:r/>
      <w:bookmarkStart w:id="30" w:name="_Toc151193906"/>
      <w:r/>
      <w:bookmarkStart w:id="31" w:name="_Toc265228356"/>
      <w:r/>
      <w:bookmarkStart w:id="32" w:name="_Toc151193760"/>
      <w:r/>
      <w:bookmarkStart w:id="33" w:name="_Toc150509269"/>
      <w:r/>
      <w:bookmarkStart w:id="34" w:name="_Toc226965791"/>
      <w:r/>
      <w:bookmarkStart w:id="35" w:name="_Toc142311020"/>
      <w:r/>
      <w:bookmarkStart w:id="36" w:name="_Toc226309762"/>
      <w:r/>
      <w:bookmarkStart w:id="37" w:name="_Toc151190145"/>
      <w:r/>
      <w:bookmarkStart w:id="38" w:name="_Toc305158860"/>
      <w:r/>
      <w:bookmarkStart w:id="39" w:name="_Toc226965708"/>
      <w:r/>
      <w:bookmarkStart w:id="40" w:name="_Toc150774723"/>
      <w:r>
        <w:rPr>
          <w:rFonts w:hint="eastAsia" w:ascii="宋体" w:hAnsi="宋体" w:cs="宋体"/>
          <w:b/>
          <w:sz w:val="28"/>
          <w:szCs w:val="28"/>
          <w:highlight w:val="none"/>
        </w:rPr>
        <w:t xml:space="preserve">一、说  明</w:t>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r/>
    </w:p>
    <w:p>
      <w:pPr>
        <w:pStyle w:val="1038"/>
        <w:numPr>
          <w:ilvl w:val="0"/>
          <w:numId w:val="4"/>
        </w:numPr>
        <w:jc w:val="left"/>
        <w:spacing w:line="360" w:lineRule="auto"/>
        <w:rPr>
          <w:rFonts w:ascii="宋体" w:hAnsi="宋体" w:cs="宋体"/>
          <w:sz w:val="24"/>
          <w:szCs w:val="24"/>
          <w:highlight w:val="none"/>
        </w:rPr>
      </w:pPr>
      <w:r/>
      <w:bookmarkStart w:id="41" w:name="_Toc264969209"/>
      <w:r/>
      <w:bookmarkStart w:id="42" w:name="_Toc305158787"/>
      <w:r/>
      <w:bookmarkStart w:id="43" w:name="_Toc305158861"/>
      <w:r/>
      <w:bookmarkStart w:id="44" w:name="_Toc265228357"/>
      <w:r/>
      <w:bookmarkStart w:id="45" w:name="_Toc226309766"/>
      <w:r/>
      <w:bookmarkStart w:id="46" w:name="_Toc520356146"/>
      <w:r/>
      <w:bookmarkStart w:id="47" w:name="_Toc151190149"/>
      <w:r/>
      <w:bookmarkStart w:id="48" w:name="_Toc142311024"/>
      <w:r/>
      <w:bookmarkStart w:id="49" w:name="_Toc265228360"/>
      <w:r/>
      <w:bookmarkStart w:id="50" w:name="_Toc151193764"/>
      <w:r/>
      <w:bookmarkStart w:id="51" w:name="_Toc150774727"/>
      <w:r/>
      <w:bookmarkStart w:id="52" w:name="_Toc226965795"/>
      <w:r/>
      <w:bookmarkStart w:id="53" w:name="_Toc305158864"/>
      <w:r/>
      <w:bookmarkStart w:id="54" w:name="_Toc127151522"/>
      <w:r/>
      <w:bookmarkStart w:id="55" w:name="_Toc150480760"/>
      <w:r/>
      <w:bookmarkStart w:id="56" w:name="_Toc151193836"/>
      <w:r/>
      <w:bookmarkStart w:id="57" w:name="_Toc305158790"/>
      <w:r/>
      <w:bookmarkStart w:id="58" w:name="_Toc264969212"/>
      <w:r/>
      <w:bookmarkStart w:id="59" w:name="_Toc151193620"/>
      <w:r/>
      <w:bookmarkStart w:id="60" w:name="_Toc226337218"/>
      <w:r/>
      <w:bookmarkStart w:id="61" w:name="_Toc151193692"/>
      <w:r/>
      <w:bookmarkStart w:id="62" w:name="_Toc150774622"/>
      <w:r/>
      <w:bookmarkStart w:id="63" w:name="_Toc151193910"/>
      <w:r/>
      <w:bookmarkStart w:id="64" w:name="_Toc226965712"/>
      <w:r/>
      <w:bookmarkStart w:id="65" w:name="_Toc150509273"/>
      <w:r/>
      <w:bookmarkStart w:id="66" w:name="_Toc195842887"/>
      <w:r>
        <w:rPr>
          <w:rFonts w:hint="eastAsia" w:ascii="宋体" w:hAnsi="宋体" w:cs="宋体"/>
          <w:sz w:val="24"/>
          <w:highlight w:val="none"/>
        </w:rPr>
        <w:t xml:space="preserve">采购人、采购代理机构、投标人</w:t>
      </w:r>
      <w:bookmarkEnd w:id="41"/>
      <w:r/>
      <w:bookmarkEnd w:id="42"/>
      <w:r/>
      <w:bookmarkEnd w:id="43"/>
      <w:r/>
      <w:bookmarkEnd w:id="44"/>
      <w:r>
        <w:rPr>
          <w:rFonts w:hint="eastAsia" w:ascii="宋体" w:hAnsi="宋体" w:cs="宋体"/>
          <w:sz w:val="24"/>
          <w:highlight w:val="none"/>
        </w:rPr>
        <w:t xml:space="preserve">、联合体</w:t>
      </w:r>
      <w:r/>
    </w:p>
    <w:p>
      <w:pPr>
        <w:pStyle w:val="1038"/>
        <w:numPr>
          <w:ilvl w:val="1"/>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sz w:val="24"/>
          <w:szCs w:val="24"/>
          <w:highlight w:val="none"/>
        </w:rPr>
        <w:t xml:space="preserve">。</w:t>
      </w:r>
      <w:r/>
    </w:p>
    <w:p>
      <w:pPr>
        <w:pStyle w:val="1038"/>
        <w:numPr>
          <w:ilvl w:val="1"/>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投标人（也称“供应商”、“申请人”）：指向采购人提供货物、工程或者服务的法人、其他组织或者自然人</w:t>
      </w:r>
      <w:r>
        <w:rPr>
          <w:rFonts w:hint="eastAsia" w:ascii="宋体" w:hAnsi="宋体" w:cs="宋体"/>
          <w:sz w:val="24"/>
          <w:szCs w:val="24"/>
          <w:highlight w:val="none"/>
        </w:rPr>
        <w:t xml:space="preserve">。</w:t>
      </w:r>
      <w:r/>
    </w:p>
    <w:p>
      <w:pPr>
        <w:pStyle w:val="1038"/>
        <w:numPr>
          <w:ilvl w:val="1"/>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联合体：指两个以上的自然人、法人或者其他组织组成一个联合体，以一个供应商的身份共同参加政府采购</w:t>
      </w:r>
      <w:r>
        <w:rPr>
          <w:rFonts w:hint="eastAsia" w:ascii="宋体" w:hAnsi="宋体" w:cs="宋体"/>
          <w:sz w:val="24"/>
          <w:szCs w:val="24"/>
          <w:highlight w:val="none"/>
        </w:rPr>
        <w:t xml:space="preserve">。</w:t>
      </w:r>
      <w:r/>
    </w:p>
    <w:p>
      <w:pPr>
        <w:pStyle w:val="1038"/>
        <w:numPr>
          <w:ilvl w:val="0"/>
          <w:numId w:val="5"/>
        </w:numPr>
        <w:jc w:val="left"/>
        <w:spacing w:line="360" w:lineRule="auto"/>
        <w:rPr>
          <w:rFonts w:ascii="宋体" w:hAnsi="宋体" w:cs="宋体"/>
          <w:sz w:val="24"/>
          <w:szCs w:val="24"/>
          <w:highlight w:val="none"/>
        </w:rPr>
      </w:pPr>
      <w:r/>
      <w:bookmarkStart w:id="67" w:name="_Toc150774620"/>
      <w:r/>
      <w:bookmarkStart w:id="68" w:name="_Toc127161434"/>
      <w:r/>
      <w:bookmarkStart w:id="69" w:name="_Toc127151721"/>
      <w:r/>
      <w:bookmarkStart w:id="70" w:name="_Toc226337216"/>
      <w:r/>
      <w:bookmarkStart w:id="71" w:name="_Toc151193834"/>
      <w:r/>
      <w:bookmarkStart w:id="72" w:name="_Toc127151520"/>
      <w:r/>
      <w:bookmarkStart w:id="73" w:name="_Toc164229361"/>
      <w:r/>
      <w:bookmarkStart w:id="74" w:name="_Toc195842885"/>
      <w:r/>
      <w:bookmarkStart w:id="75" w:name="_Toc151193908"/>
      <w:r/>
      <w:bookmarkStart w:id="76" w:name="_Toc164608789"/>
      <w:r/>
      <w:bookmarkStart w:id="77" w:name="_Toc264969210"/>
      <w:r/>
      <w:bookmarkStart w:id="78" w:name="_Toc150774725"/>
      <w:r/>
      <w:bookmarkStart w:id="79" w:name="_Toc164229215"/>
      <w:r/>
      <w:bookmarkStart w:id="80" w:name="_Toc142311022"/>
      <w:r/>
      <w:bookmarkStart w:id="81" w:name="_Toc150480758"/>
      <w:r/>
      <w:bookmarkStart w:id="82" w:name="_Toc265228358"/>
      <w:r/>
      <w:bookmarkStart w:id="83" w:name="_Toc305158788"/>
      <w:r/>
      <w:bookmarkStart w:id="84" w:name="_Toc164351614"/>
      <w:r/>
      <w:bookmarkStart w:id="85" w:name="_Toc151190147"/>
      <w:r/>
      <w:bookmarkStart w:id="86" w:name="_Toc305158862"/>
      <w:r/>
      <w:bookmarkStart w:id="87" w:name="_Toc150509271"/>
      <w:r/>
      <w:bookmarkStart w:id="88" w:name="_Toc149720813"/>
      <w:r/>
      <w:bookmarkStart w:id="89" w:name="_Toc226309764"/>
      <w:r/>
      <w:bookmarkStart w:id="90" w:name="_Toc226965793"/>
      <w:r/>
      <w:bookmarkStart w:id="91" w:name="_Toc151193690"/>
      <w:r/>
      <w:bookmarkStart w:id="92" w:name="_Toc151193618"/>
      <w:r/>
      <w:bookmarkStart w:id="93" w:name="_Toc164608634"/>
      <w:r/>
      <w:bookmarkStart w:id="94" w:name="_Toc151193762"/>
      <w:r/>
      <w:bookmarkStart w:id="95" w:name="_Toc226965710"/>
      <w:r>
        <w:rPr>
          <w:rFonts w:hint="eastAsia" w:ascii="宋体" w:hAnsi="宋体" w:cs="宋体"/>
          <w:sz w:val="24"/>
          <w:highlight w:val="none"/>
        </w:rPr>
        <w:t xml:space="preserve">资金来源</w:t>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宋体" w:hAnsi="宋体" w:cs="宋体"/>
          <w:sz w:val="24"/>
          <w:highlight w:val="none"/>
        </w:rPr>
        <w:t xml:space="preserve">、项目属性、科研仪器设备采购、核心产品</w:t>
      </w:r>
      <w:r/>
    </w:p>
    <w:p>
      <w:pPr>
        <w:pStyle w:val="1038"/>
        <w:numPr>
          <w:ilvl w:val="1"/>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资金来源为财政性资金和/或本项目采购中无法与财政性资金分割的非财政性资金</w:t>
      </w:r>
      <w:r>
        <w:rPr>
          <w:rFonts w:hint="eastAsia" w:ascii="宋体" w:hAnsi="宋体" w:cs="宋体"/>
          <w:sz w:val="24"/>
          <w:szCs w:val="24"/>
          <w:highlight w:val="none"/>
        </w:rPr>
        <w:t xml:space="preserve">。</w:t>
      </w:r>
      <w:r/>
    </w:p>
    <w:p>
      <w:pPr>
        <w:pStyle w:val="1038"/>
        <w:numPr>
          <w:ilvl w:val="1"/>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项目属性见《投标人须知资料表》</w:t>
      </w:r>
      <w:r>
        <w:rPr>
          <w:rFonts w:hint="eastAsia" w:ascii="宋体" w:hAnsi="宋体" w:cs="宋体"/>
          <w:sz w:val="24"/>
          <w:szCs w:val="24"/>
          <w:highlight w:val="none"/>
        </w:rPr>
        <w:t xml:space="preserve">。</w:t>
      </w:r>
      <w:r/>
    </w:p>
    <w:p>
      <w:pPr>
        <w:pStyle w:val="1038"/>
        <w:numPr>
          <w:ilvl w:val="1"/>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是否属于科研仪器设备采购见《投标人须知资料表》</w:t>
      </w:r>
      <w:r>
        <w:rPr>
          <w:rFonts w:hint="eastAsia" w:ascii="宋体" w:hAnsi="宋体" w:cs="宋体"/>
          <w:sz w:val="24"/>
          <w:szCs w:val="24"/>
          <w:highlight w:val="none"/>
        </w:rPr>
        <w:t xml:space="preserve">。</w:t>
      </w:r>
      <w:r/>
    </w:p>
    <w:p>
      <w:pPr>
        <w:pStyle w:val="1038"/>
        <w:numPr>
          <w:ilvl w:val="1"/>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核心产品见《投标人须知资料表》。</w:t>
      </w:r>
      <w:r/>
    </w:p>
    <w:p>
      <w:pPr>
        <w:pStyle w:val="1038"/>
        <w:numPr>
          <w:ilvl w:val="0"/>
          <w:numId w:val="5"/>
        </w:numPr>
        <w:jc w:val="left"/>
        <w:spacing w:line="360" w:lineRule="auto"/>
        <w:rPr>
          <w:rFonts w:ascii="宋体" w:hAnsi="宋体" w:cs="宋体"/>
          <w:sz w:val="24"/>
          <w:highlight w:val="none"/>
        </w:rPr>
      </w:pPr>
      <w:r>
        <w:rPr>
          <w:rFonts w:hint="eastAsia" w:ascii="宋体" w:hAnsi="宋体" w:cs="宋体"/>
          <w:sz w:val="24"/>
          <w:highlight w:val="none"/>
        </w:rPr>
        <w:t xml:space="preserve">现场考察、开标前答疑会</w:t>
      </w:r>
      <w:r/>
    </w:p>
    <w:p>
      <w:pPr>
        <w:pStyle w:val="1038"/>
        <w:numPr>
          <w:ilvl w:val="1"/>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若《投标人须知资料表》中规定了组织现场考察、召开开标前答疑会，则投标人应按要求在规定的时间和地点参加</w:t>
      </w:r>
      <w:r>
        <w:rPr>
          <w:rFonts w:hint="eastAsia" w:ascii="宋体" w:hAnsi="宋体" w:cs="宋体"/>
          <w:sz w:val="24"/>
          <w:szCs w:val="24"/>
          <w:highlight w:val="none"/>
        </w:rPr>
        <w:t xml:space="preserve">。</w:t>
      </w:r>
      <w:r/>
    </w:p>
    <w:p>
      <w:pPr>
        <w:pStyle w:val="1038"/>
        <w:numPr>
          <w:ilvl w:val="1"/>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pStyle w:val="1038"/>
        <w:numPr>
          <w:ilvl w:val="0"/>
          <w:numId w:val="5"/>
        </w:num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样品</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本项目是否要求投标人提供样品，以及样品制作的标准和要求、是否需要随样品提交相关检测报告、样品的递交与退还等要求见《投标人须知资料表》。</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样品的评审方法以及评审标准等内容见第四章《评标方法和评标标准》。</w:t>
      </w:r>
      <w:r/>
    </w:p>
    <w:p>
      <w:pPr>
        <w:pStyle w:val="1038"/>
        <w:numPr>
          <w:ilvl w:val="0"/>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政府采购政策（包括但不限于下列具体政策要求）</w:t>
      </w:r>
      <w:r/>
    </w:p>
    <w:p>
      <w:pPr>
        <w:pStyle w:val="1038"/>
        <w:numPr>
          <w:ilvl w:val="1"/>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进口产品</w:t>
      </w:r>
      <w:r/>
    </w:p>
    <w:p>
      <w:pPr>
        <w:pStyle w:val="1038"/>
        <w:numPr>
          <w:ilvl w:val="2"/>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38"/>
        <w:numPr>
          <w:ilvl w:val="1"/>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中小企业、监狱企业及残疾人福利性单位</w:t>
      </w:r>
      <w:r/>
    </w:p>
    <w:p>
      <w:pPr>
        <w:pStyle w:val="1038"/>
        <w:numPr>
          <w:ilvl w:val="2"/>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中小企业定义</w:t>
      </w:r>
      <w:r/>
    </w:p>
    <w:p>
      <w:pPr>
        <w:pStyle w:val="1038"/>
        <w:numPr>
          <w:ilvl w:val="3"/>
          <w:numId w:val="5"/>
        </w:numPr>
        <w:ind w:left="1701"/>
        <w:jc w:val="left"/>
        <w:spacing w:line="360" w:lineRule="auto"/>
        <w:rPr>
          <w:rFonts w:ascii="宋体" w:hAnsi="宋体" w:cs="宋体"/>
          <w:sz w:val="24"/>
          <w:szCs w:val="24"/>
          <w:highlight w:val="none"/>
        </w:rPr>
      </w:pPr>
      <w:r>
        <w:rPr>
          <w:rFonts w:hint="eastAsia" w:ascii="宋体" w:hAnsi="宋体" w:cs="宋体"/>
          <w:sz w:val="24"/>
          <w:highlight w:val="none"/>
        </w:rPr>
        <w:t xml:space="preserve">中小企业是</w:t>
      </w:r>
      <w:r>
        <w:rPr>
          <w:rFonts w:hint="eastAsia" w:ascii="宋体" w:hAnsi="宋体" w:cs="宋体"/>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38"/>
        <w:numPr>
          <w:ilvl w:val="3"/>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1038"/>
        <w:numPr>
          <w:ilvl w:val="3"/>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在货物采购项目中，供应商提供的货物既有中小企业制造货物，也有大型企业制造货物的，不享受中小企业扶持政策。</w:t>
      </w:r>
      <w:r/>
    </w:p>
    <w:p>
      <w:pPr>
        <w:pStyle w:val="1038"/>
        <w:numPr>
          <w:ilvl w:val="3"/>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以联合体形式参加政府采购活动，联合体各方均为中小企业的，联合体视同中小企业。其中，联合体各方均为小微企业的，联合体视同小微企业。</w:t>
      </w:r>
      <w:r/>
    </w:p>
    <w:p>
      <w:pPr>
        <w:pStyle w:val="1038"/>
        <w:numPr>
          <w:ilvl w:val="2"/>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38"/>
        <w:numPr>
          <w:ilvl w:val="2"/>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残疾人福利单位定义：享受政府采购支持政策的残疾人福利性单位应当同时满足以下条件：</w:t>
      </w:r>
      <w:r/>
    </w:p>
    <w:p>
      <w:pPr>
        <w:pStyle w:val="1038"/>
        <w:numPr>
          <w:ilvl w:val="3"/>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安置的残疾人占本单位在职职工人数的比例不低于25%（含25%），并且安置的残疾人人数不少于10 人（含10 人）；</w:t>
      </w:r>
      <w:r/>
    </w:p>
    <w:p>
      <w:pPr>
        <w:pStyle w:val="1038"/>
        <w:numPr>
          <w:ilvl w:val="3"/>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依法与安置的每位残疾人签订了一年以上（含一年）的劳动合同或服务协议；</w:t>
      </w:r>
      <w:r/>
    </w:p>
    <w:p>
      <w:pPr>
        <w:pStyle w:val="1038"/>
        <w:numPr>
          <w:ilvl w:val="3"/>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为安置的每位残疾人按月足额缴纳了基本养老保险、基本医疗保险、失业保险、工伤保险和生育保险等社会保险费；</w:t>
      </w:r>
      <w:r/>
    </w:p>
    <w:p>
      <w:pPr>
        <w:pStyle w:val="1038"/>
        <w:numPr>
          <w:ilvl w:val="3"/>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通过银行等金融机构向安置的每位残疾人，按月支付了不低于单位所在区县适用的经省级人民政府批准的月最低工资标准的工资</w:t>
      </w:r>
      <w:r/>
    </w:p>
    <w:p>
      <w:pPr>
        <w:pStyle w:val="1038"/>
        <w:numPr>
          <w:ilvl w:val="3"/>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提供本单位制造的货物、承担的工程或者服务（以下简称产品），或者提供其他残疾人福利性单位制造的货物（不包括使用非残疾人福利性单位注册商标的货物）；</w:t>
      </w:r>
      <w:r/>
    </w:p>
    <w:p>
      <w:pPr>
        <w:pStyle w:val="1038"/>
        <w:numPr>
          <w:ilvl w:val="3"/>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38"/>
        <w:numPr>
          <w:ilvl w:val="2"/>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本项目是否专门面向中小企业预留采购份额见第一章《投标邀请》。</w:t>
      </w:r>
      <w:r/>
    </w:p>
    <w:p>
      <w:pPr>
        <w:pStyle w:val="1038"/>
        <w:numPr>
          <w:ilvl w:val="2"/>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采购标的对应的中小企业划分标准所属行业见《投标人须知资料表》。</w:t>
      </w:r>
      <w:r/>
    </w:p>
    <w:p>
      <w:pPr>
        <w:pStyle w:val="1038"/>
        <w:numPr>
          <w:ilvl w:val="2"/>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小微企业价格评审优惠的政策调整：见第三章《评标方法和评标标准》。</w:t>
      </w:r>
      <w:r/>
    </w:p>
    <w:p>
      <w:pPr>
        <w:pStyle w:val="1038"/>
        <w:numPr>
          <w:ilvl w:val="1"/>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政府采购节能产品、环境标志产品</w:t>
      </w:r>
      <w:r/>
    </w:p>
    <w:p>
      <w:pPr>
        <w:pStyle w:val="1038"/>
        <w:numPr>
          <w:ilvl w:val="2"/>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38"/>
        <w:numPr>
          <w:ilvl w:val="2"/>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1038"/>
        <w:numPr>
          <w:ilvl w:val="2"/>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highlight w:val="none"/>
        </w:rPr>
        <w:t xml:space="preserve">否则</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pStyle w:val="1038"/>
        <w:numPr>
          <w:ilvl w:val="2"/>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非政府强制采购的节能产品或环境标志产品，依据品目清单和认证证书实施政府优先采购。优先采购的具体规定见第三章《评标方法和评标标准》（如涉及）。</w:t>
      </w:r>
      <w:r/>
    </w:p>
    <w:p>
      <w:pPr>
        <w:pStyle w:val="1038"/>
        <w:numPr>
          <w:ilvl w:val="2"/>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38"/>
        <w:numPr>
          <w:ilvl w:val="1"/>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支持乡村产业振兴管理</w:t>
      </w:r>
      <w:r/>
    </w:p>
    <w:p>
      <w:pPr>
        <w:pStyle w:val="1038"/>
        <w:numPr>
          <w:ilvl w:val="2"/>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038"/>
        <w:numPr>
          <w:ilvl w:val="1"/>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正版软件</w:t>
      </w:r>
      <w:r/>
    </w:p>
    <w:p>
      <w:pPr>
        <w:pStyle w:val="1038"/>
        <w:numPr>
          <w:ilvl w:val="2"/>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highlight w:val="none"/>
        </w:rPr>
        <w:t xml:space="preserve">否则</w:t>
      </w:r>
      <w:r>
        <w:rPr>
          <w:rFonts w:hint="eastAsia" w:ascii="宋体" w:hAnsi="宋体" w:cs="宋体"/>
          <w:b/>
          <w:sz w:val="24"/>
          <w:highlight w:val="none"/>
        </w:rPr>
        <w:t xml:space="preserve">投标无效</w:t>
      </w:r>
      <w:r>
        <w:rPr>
          <w:rFonts w:hint="eastAsia" w:ascii="宋体" w:hAnsi="宋体" w:cs="宋体"/>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38"/>
        <w:numPr>
          <w:ilvl w:val="2"/>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38"/>
        <w:numPr>
          <w:ilvl w:val="1"/>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政府采购创新产品政策</w:t>
      </w:r>
      <w:r/>
    </w:p>
    <w:p>
      <w:pPr>
        <w:pStyle w:val="1038"/>
        <w:numPr>
          <w:ilvl w:val="2"/>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绿色采购政策</w:t>
      </w:r>
      <w:r/>
    </w:p>
    <w:p>
      <w:pPr>
        <w:pStyle w:val="1038"/>
        <w:numPr>
          <w:ilvl w:val="2"/>
          <w:numId w:val="5"/>
        </w:numPr>
        <w:jc w:val="left"/>
        <w:spacing w:line="360" w:lineRule="auto"/>
        <w:rPr>
          <w:rFonts w:ascii="宋体" w:hAnsi="宋体" w:cs="宋体"/>
          <w:highlight w:val="none"/>
        </w:rPr>
      </w:pPr>
      <w:r>
        <w:rPr>
          <w:rFonts w:hint="eastAsia" w:ascii="宋体" w:hAnsi="宋体" w:cs="宋体"/>
          <w:b/>
          <w:bCs/>
          <w:sz w:val="24"/>
          <w:highlight w:val="none"/>
        </w:rPr>
        <w:t xml:space="preserve">绿色包装：</w:t>
      </w:r>
      <w:r>
        <w:rPr>
          <w:rFonts w:hint="eastAsia" w:ascii="宋体" w:hAnsi="宋体" w:cs="宋体"/>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38"/>
        <w:numPr>
          <w:ilvl w:val="2"/>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绿色数据中心政策：依据《绿色数据中心政府采购需求标准（试行）》（财办库〔2023〕7号）文件精神，采购</w:t>
      </w:r>
      <w:r>
        <w:rPr>
          <w:rFonts w:hint="eastAsia" w:ascii="宋体" w:hAnsi="宋体" w:cs="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38"/>
        <w:numPr>
          <w:ilvl w:val="2"/>
          <w:numId w:val="5"/>
        </w:numPr>
        <w:jc w:val="left"/>
        <w:spacing w:line="360" w:lineRule="auto"/>
        <w:rPr>
          <w:rFonts w:ascii="宋体" w:hAnsi="宋体" w:cs="宋体"/>
          <w:sz w:val="24"/>
          <w:highlight w:val="none"/>
        </w:rPr>
      </w:pPr>
      <w:r>
        <w:rPr>
          <w:rFonts w:hint="eastAsia" w:ascii="宋体" w:hAnsi="宋体" w:cs="宋体"/>
          <w:sz w:val="24"/>
          <w:highlight w:val="none"/>
        </w:rPr>
        <w:t xml:space="preserve">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1038"/>
        <w:numPr>
          <w:ilvl w:val="2"/>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038"/>
        <w:numPr>
          <w:ilvl w:val="0"/>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投标费用</w:t>
      </w:r>
      <w:r/>
    </w:p>
    <w:p>
      <w:pPr>
        <w:pStyle w:val="1038"/>
        <w:numPr>
          <w:ilvl w:val="1"/>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投标人应自行承担所有与准备和参加投标有关的费用，无论投标的结果如何，采购人或采购代理机构在任何情况下均无承担这些费用的义务和责任。</w:t>
      </w:r>
      <w:r/>
    </w:p>
    <w:p>
      <w:pPr>
        <w:ind w:left="267" w:hanging="267"/>
        <w:jc w:val="center"/>
        <w:spacing w:line="360" w:lineRule="auto"/>
        <w:rPr>
          <w:rFonts w:ascii="宋体" w:hAnsi="宋体" w:cs="宋体"/>
          <w:sz w:val="24"/>
          <w:szCs w:val="24"/>
          <w:highlight w:val="none"/>
        </w:rPr>
      </w:pPr>
      <w:r>
        <w:rPr>
          <w:rFonts w:hint="eastAsia" w:ascii="宋体" w:hAnsi="宋体" w:cs="宋体"/>
          <w:b/>
          <w:sz w:val="28"/>
          <w:szCs w:val="28"/>
          <w:highlight w:val="none"/>
        </w:rPr>
        <w:t xml:space="preserve">二、招标文件</w:t>
      </w:r>
      <w:r/>
    </w:p>
    <w:p>
      <w:pPr>
        <w:pStyle w:val="1038"/>
        <w:numPr>
          <w:ilvl w:val="0"/>
          <w:numId w:val="5"/>
        </w:numPr>
        <w:jc w:val="left"/>
        <w:spacing w:line="360" w:lineRule="auto"/>
        <w:rPr>
          <w:rFonts w:ascii="宋体" w:hAnsi="宋体" w:cs="宋体"/>
          <w:sz w:val="24"/>
          <w:szCs w:val="24"/>
          <w:highlight w:val="none"/>
        </w:rPr>
      </w:pPr>
      <w:r/>
      <w:bookmarkStart w:id="96" w:name="_Toc226965796"/>
      <w:r/>
      <w:bookmarkStart w:id="97" w:name="_Toc226965713"/>
      <w:r/>
      <w:bookmarkStart w:id="98" w:name="_Toc149720816"/>
      <w:r/>
      <w:bookmarkStart w:id="99" w:name="_Toc164608792"/>
      <w:r/>
      <w:bookmarkStart w:id="100" w:name="_Toc265228361"/>
      <w:r/>
      <w:bookmarkStart w:id="101" w:name="_Toc520356147"/>
      <w:r/>
      <w:bookmarkStart w:id="102" w:name="_Toc150480761"/>
      <w:r/>
      <w:bookmarkStart w:id="103" w:name="_Toc164608637"/>
      <w:r/>
      <w:bookmarkStart w:id="104" w:name="_Toc151193837"/>
      <w:r/>
      <w:bookmarkStart w:id="105" w:name="_Toc305158865"/>
      <w:r/>
      <w:bookmarkStart w:id="106" w:name="_Toc305158791"/>
      <w:r/>
      <w:bookmarkStart w:id="107" w:name="_Toc195842888"/>
      <w:r/>
      <w:bookmarkStart w:id="108" w:name="_Toc226337219"/>
      <w:r/>
      <w:bookmarkStart w:id="109" w:name="_Toc151190150"/>
      <w:r/>
      <w:bookmarkStart w:id="110" w:name="_Toc226309767"/>
      <w:r/>
      <w:bookmarkStart w:id="111" w:name="_Toc127151724"/>
      <w:r/>
      <w:bookmarkStart w:id="112" w:name="_Toc150774623"/>
      <w:r/>
      <w:bookmarkStart w:id="113" w:name="_Toc142311025"/>
      <w:r/>
      <w:bookmarkStart w:id="114" w:name="_Toc264969213"/>
      <w:r/>
      <w:bookmarkStart w:id="115" w:name="_Toc164351617"/>
      <w:r/>
      <w:bookmarkStart w:id="116" w:name="_Toc164229218"/>
      <w:r/>
      <w:bookmarkStart w:id="117" w:name="_Toc151193693"/>
      <w:r/>
      <w:bookmarkStart w:id="118" w:name="_Toc164229364"/>
      <w:r/>
      <w:bookmarkStart w:id="119" w:name="_Toc127151523"/>
      <w:r/>
      <w:bookmarkStart w:id="120" w:name="_Toc150774728"/>
      <w:r/>
      <w:bookmarkStart w:id="121" w:name="_Toc151193765"/>
      <w:r/>
      <w:bookmarkStart w:id="122" w:name="_Toc151193621"/>
      <w:r/>
      <w:bookmarkStart w:id="123" w:name="_Toc127161437"/>
      <w:r/>
      <w:bookmarkStart w:id="124" w:name="_Toc151193911"/>
      <w:r/>
      <w:bookmarkStart w:id="125" w:name="_Toc150509274"/>
      <w:r>
        <w:rPr>
          <w:rFonts w:hint="eastAsia" w:ascii="宋体" w:hAnsi="宋体" w:cs="宋体"/>
          <w:sz w:val="24"/>
          <w:highlight w:val="none"/>
        </w:rPr>
        <w:t xml:space="preserve">招标文件构</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Pr>
          <w:rFonts w:hint="eastAsia" w:ascii="宋体" w:hAnsi="宋体" w:cs="宋体"/>
          <w:sz w:val="24"/>
          <w:highlight w:val="none"/>
        </w:rPr>
        <w:t xml:space="preserve">成</w:t>
      </w:r>
      <w:r/>
    </w:p>
    <w:p>
      <w:pPr>
        <w:pStyle w:val="1038"/>
        <w:numPr>
          <w:ilvl w:val="1"/>
          <w:numId w:val="5"/>
        </w:numPr>
        <w:jc w:val="left"/>
        <w:spacing w:line="360" w:lineRule="auto"/>
        <w:rPr>
          <w:rFonts w:ascii="宋体" w:hAnsi="宋体" w:cs="宋体"/>
          <w:sz w:val="24"/>
          <w:szCs w:val="24"/>
          <w:highlight w:val="none"/>
        </w:rPr>
      </w:pPr>
      <w:r>
        <w:rPr>
          <w:rFonts w:hint="eastAsia" w:ascii="宋体" w:hAnsi="宋体" w:cs="宋体"/>
          <w:sz w:val="24"/>
          <w:highlight w:val="none"/>
        </w:rPr>
        <w:t xml:space="preserve">招标文件包括以下部分：</w:t>
      </w:r>
      <w:r/>
    </w:p>
    <w:p>
      <w:pPr>
        <w:ind w:firstLine="9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第一章  投标邀请</w:t>
      </w:r>
      <w:r/>
    </w:p>
    <w:p>
      <w:pPr>
        <w:ind w:firstLine="9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第二章  投标人须知</w:t>
      </w:r>
      <w:r/>
    </w:p>
    <w:p>
      <w:pPr>
        <w:ind w:firstLine="9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第三章  资格审查</w:t>
      </w:r>
      <w:r/>
    </w:p>
    <w:p>
      <w:pPr>
        <w:ind w:firstLine="9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第四章评标程序、评标方法和评标标准</w:t>
      </w:r>
      <w:r/>
    </w:p>
    <w:p>
      <w:pPr>
        <w:ind w:firstLine="9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第五章采购需求</w:t>
      </w:r>
      <w:r/>
    </w:p>
    <w:p>
      <w:pPr>
        <w:ind w:firstLine="9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第六章  拟签订的合同文本</w:t>
      </w:r>
      <w:r/>
    </w:p>
    <w:p>
      <w:pPr>
        <w:ind w:firstLine="9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第七章  投标文件格式</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highlight w:val="none"/>
        </w:rPr>
        <w:t xml:space="preserve">投标无效。</w:t>
      </w:r>
      <w:r/>
    </w:p>
    <w:p>
      <w:pPr>
        <w:pStyle w:val="1038"/>
        <w:numPr>
          <w:ilvl w:val="0"/>
          <w:numId w:val="5"/>
        </w:numPr>
        <w:jc w:val="left"/>
        <w:spacing w:line="360" w:lineRule="auto"/>
        <w:rPr>
          <w:rFonts w:ascii="宋体" w:hAnsi="宋体" w:cs="宋体"/>
          <w:sz w:val="24"/>
          <w:highlight w:val="none"/>
        </w:rPr>
      </w:pPr>
      <w:r>
        <w:rPr>
          <w:rFonts w:hint="eastAsia" w:ascii="宋体" w:hAnsi="宋体" w:cs="宋体"/>
          <w:sz w:val="24"/>
          <w:highlight w:val="none"/>
        </w:rPr>
        <w:t xml:space="preserve">对招标文件的澄清或修改</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采购人或采购代理机构对已发出的招标文件进行必要澄清或者修改的，将在原公告发布媒体上以发布更正公告的形式通知所有获取招标文件的潜在投标人。</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267" w:hanging="267"/>
        <w:jc w:val="center"/>
        <w:spacing w:line="360" w:lineRule="auto"/>
        <w:rPr>
          <w:rFonts w:ascii="宋体" w:hAnsi="宋体" w:cs="宋体"/>
          <w:sz w:val="24"/>
          <w:highlight w:val="none"/>
        </w:rPr>
      </w:pPr>
      <w:r>
        <w:rPr>
          <w:rFonts w:hint="eastAsia" w:ascii="宋体" w:hAnsi="宋体" w:cs="宋体"/>
          <w:b/>
          <w:sz w:val="28"/>
          <w:szCs w:val="28"/>
          <w:highlight w:val="none"/>
        </w:rPr>
        <w:t xml:space="preserve">三、投标文件的编制</w:t>
      </w:r>
      <w:r/>
    </w:p>
    <w:p>
      <w:pPr>
        <w:pStyle w:val="1038"/>
        <w:numPr>
          <w:ilvl w:val="0"/>
          <w:numId w:val="5"/>
        </w:numPr>
        <w:jc w:val="left"/>
        <w:spacing w:line="360" w:lineRule="auto"/>
        <w:rPr>
          <w:rFonts w:ascii="宋体" w:hAnsi="宋体" w:cs="宋体"/>
          <w:sz w:val="24"/>
          <w:highlight w:val="none"/>
        </w:rPr>
      </w:pPr>
      <w:r/>
      <w:bookmarkStart w:id="126" w:name="_Toc226337223"/>
      <w:r/>
      <w:bookmarkStart w:id="127" w:name="_Toc305158795"/>
      <w:r/>
      <w:bookmarkStart w:id="128" w:name="_Toc151190154"/>
      <w:r/>
      <w:bookmarkStart w:id="129" w:name="_Toc150774627"/>
      <w:r/>
      <w:bookmarkStart w:id="130" w:name="_Toc164608641"/>
      <w:r/>
      <w:bookmarkStart w:id="131" w:name="_Toc265228365"/>
      <w:r/>
      <w:bookmarkStart w:id="132" w:name="_Toc226309771"/>
      <w:r/>
      <w:bookmarkStart w:id="133" w:name="_Toc127151527"/>
      <w:r/>
      <w:bookmarkStart w:id="134" w:name="_Toc305158869"/>
      <w:r/>
      <w:bookmarkStart w:id="135" w:name="_Toc151193769"/>
      <w:r/>
      <w:bookmarkStart w:id="136" w:name="_Toc150774732"/>
      <w:r/>
      <w:bookmarkStart w:id="137" w:name="_Toc150509278"/>
      <w:r/>
      <w:bookmarkStart w:id="138" w:name="_Toc150480765"/>
      <w:r/>
      <w:bookmarkStart w:id="139" w:name="_Toc264969217"/>
      <w:r/>
      <w:bookmarkStart w:id="140" w:name="_Toc164229222"/>
      <w:r/>
      <w:bookmarkStart w:id="141" w:name="_Toc127161441"/>
      <w:r/>
      <w:bookmarkStart w:id="142" w:name="_Toc164351621"/>
      <w:r/>
      <w:bookmarkStart w:id="143" w:name="_Toc142311029"/>
      <w:r/>
      <w:bookmarkStart w:id="144" w:name="_Toc164608796"/>
      <w:r/>
      <w:bookmarkStart w:id="145" w:name="_Toc151193915"/>
      <w:r/>
      <w:bookmarkStart w:id="146" w:name="_Toc127151728"/>
      <w:r/>
      <w:bookmarkStart w:id="147" w:name="_Toc149720820"/>
      <w:r/>
      <w:bookmarkStart w:id="148" w:name="_Toc226965717"/>
      <w:r/>
      <w:bookmarkStart w:id="149" w:name="_Toc195842892"/>
      <w:r/>
      <w:bookmarkStart w:id="150" w:name="_Toc164229368"/>
      <w:r/>
      <w:bookmarkStart w:id="151" w:name="_Toc516367021"/>
      <w:r/>
      <w:bookmarkStart w:id="152" w:name="_Toc151193697"/>
      <w:r/>
      <w:bookmarkStart w:id="153" w:name="_Toc151193841"/>
      <w:r/>
      <w:bookmarkStart w:id="154" w:name="_Toc520356151"/>
      <w:r/>
      <w:bookmarkStart w:id="155" w:name="_Toc151193625"/>
      <w:r/>
      <w:bookmarkStart w:id="156" w:name="_Toc226965800"/>
      <w:r>
        <w:rPr>
          <w:rFonts w:hint="eastAsia" w:ascii="宋体" w:hAnsi="宋体" w:cs="宋体"/>
          <w:sz w:val="24"/>
          <w:highlight w:val="none"/>
        </w:rPr>
        <w:t xml:space="preserve">投标范围、投标文件中计量单位的使用</w:t>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rPr>
          <w:rFonts w:hint="eastAsia" w:ascii="宋体" w:hAnsi="宋体" w:cs="宋体"/>
          <w:sz w:val="24"/>
          <w:highlight w:val="none"/>
        </w:rPr>
        <w:t xml:space="preserve">及投标语言</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highlight w:val="none"/>
        </w:rPr>
        <w:t xml:space="preserve">无效投标。</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除招标文件有特殊要求外，本项目投标所使用的计量单位，应采用中华人民共和国法定计量单位。</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38"/>
        <w:numPr>
          <w:ilvl w:val="0"/>
          <w:numId w:val="5"/>
        </w:numPr>
        <w:jc w:val="left"/>
        <w:spacing w:line="360" w:lineRule="auto"/>
        <w:rPr>
          <w:rFonts w:ascii="宋体" w:hAnsi="宋体" w:cs="宋体"/>
          <w:sz w:val="24"/>
          <w:highlight w:val="none"/>
        </w:rPr>
      </w:pPr>
      <w:r/>
      <w:bookmarkStart w:id="157" w:name="_Ref467306676"/>
      <w:r/>
      <w:bookmarkStart w:id="158" w:name="_Ref467306195"/>
      <w:r/>
      <w:bookmarkStart w:id="159" w:name="_Toc516367022"/>
      <w:r/>
      <w:bookmarkStart w:id="160" w:name="_Toc164608642"/>
      <w:r/>
      <w:bookmarkStart w:id="161" w:name="_Toc164229223"/>
      <w:r/>
      <w:bookmarkStart w:id="162" w:name="_Toc226309772"/>
      <w:r/>
      <w:bookmarkStart w:id="163" w:name="_Toc164351622"/>
      <w:r/>
      <w:bookmarkStart w:id="164" w:name="_Toc226965718"/>
      <w:r/>
      <w:bookmarkStart w:id="165" w:name="_Toc151193842"/>
      <w:r/>
      <w:bookmarkStart w:id="166" w:name="_Toc127151528"/>
      <w:r/>
      <w:bookmarkStart w:id="167" w:name="_Toc164608797"/>
      <w:r/>
      <w:bookmarkStart w:id="168" w:name="_Toc151193626"/>
      <w:r/>
      <w:bookmarkStart w:id="169" w:name="_Toc265228366"/>
      <w:r/>
      <w:bookmarkStart w:id="170" w:name="_Toc151193916"/>
      <w:r/>
      <w:bookmarkStart w:id="171" w:name="_Toc150774628"/>
      <w:r/>
      <w:bookmarkStart w:id="172" w:name="_Toc150774733"/>
      <w:r/>
      <w:bookmarkStart w:id="173" w:name="_Toc226337224"/>
      <w:r/>
      <w:bookmarkStart w:id="174" w:name="_Toc142311030"/>
      <w:r/>
      <w:bookmarkStart w:id="175" w:name="_Toc264969218"/>
      <w:r/>
      <w:bookmarkStart w:id="176" w:name="_Toc150480766"/>
      <w:r/>
      <w:bookmarkStart w:id="177" w:name="_Toc151190155"/>
      <w:r/>
      <w:bookmarkStart w:id="178" w:name="_Toc226965801"/>
      <w:r/>
      <w:bookmarkStart w:id="179" w:name="_Toc305158796"/>
      <w:r/>
      <w:bookmarkStart w:id="180" w:name="_Toc127161442"/>
      <w:r/>
      <w:bookmarkStart w:id="181" w:name="_Toc127151729"/>
      <w:r/>
      <w:bookmarkStart w:id="182" w:name="_Toc164229369"/>
      <w:r/>
      <w:bookmarkStart w:id="183" w:name="_Toc305158870"/>
      <w:r/>
      <w:bookmarkStart w:id="184" w:name="_Toc149720821"/>
      <w:r/>
      <w:bookmarkStart w:id="185" w:name="_Toc195842893"/>
      <w:r/>
      <w:bookmarkStart w:id="186" w:name="_Toc520356152"/>
      <w:r/>
      <w:bookmarkStart w:id="187" w:name="_Toc150509279"/>
      <w:r/>
      <w:bookmarkStart w:id="188" w:name="_Toc151193770"/>
      <w:r/>
      <w:bookmarkStart w:id="189" w:name="_Toc151193698"/>
      <w:r>
        <w:rPr>
          <w:rFonts w:hint="eastAsia" w:ascii="宋体" w:hAnsi="宋体" w:cs="宋体"/>
          <w:sz w:val="24"/>
          <w:highlight w:val="none"/>
        </w:rPr>
        <w:t xml:space="preserve">投标文件</w:t>
      </w:r>
      <w:bookmarkEnd w:id="157"/>
      <w:r/>
      <w:bookmarkEnd w:id="158"/>
      <w:r/>
      <w:bookmarkEnd w:id="159"/>
      <w:r>
        <w:rPr>
          <w:rFonts w:hint="eastAsia" w:ascii="宋体" w:hAnsi="宋体" w:cs="宋体"/>
          <w:sz w:val="24"/>
          <w:highlight w:val="none"/>
        </w:rPr>
        <w:t xml:space="preserve">构成</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投标人应当按照招标文件的要求编制投标文件。投标人编写的投标文件应包括资格证明文件、符合性证明文件、投标分项报价表、偏离表、其他证明文件、投标函、开标一览表等部分。投标文件的部分格式要求，见第七章《投标文件格式》。</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对于招标文件中标记了“实质性格式”文件的，</w:t>
      </w:r>
      <w:r>
        <w:rPr>
          <w:rFonts w:hint="eastAsia" w:ascii="宋体" w:hAnsi="宋体" w:cs="宋体"/>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highlight w:val="none"/>
        </w:rPr>
        <w:t xml:space="preserve">否则</w:t>
      </w:r>
      <w:r>
        <w:rPr>
          <w:rFonts w:hint="eastAsia" w:ascii="宋体" w:hAnsi="宋体" w:cs="宋体"/>
          <w:b/>
          <w:sz w:val="24"/>
          <w:highlight w:val="none"/>
        </w:rPr>
        <w:t xml:space="preserve">投标无效</w:t>
      </w:r>
      <w:r>
        <w:rPr>
          <w:rFonts w:hint="eastAsia" w:ascii="宋体" w:hAnsi="宋体" w:cs="宋体"/>
          <w:sz w:val="24"/>
          <w:highlight w:val="none"/>
        </w:rPr>
        <w:t xml:space="preserve">。未标记“实质性格式”的文件和招标文件未提供格式的内容，可由投标人自行编写。</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第四章《评标程序、评标方法和评标标准》中涉及的证明文件。</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投标人认为应附的其他材料。</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如标书制作工具中格式和内容与“江苏政府采购网”</w:t>
      </w:r>
      <w:r>
        <w:rPr>
          <w:rFonts w:hint="eastAsia" w:ascii="宋体" w:hAnsi="宋体" w:cs="宋体"/>
          <w:sz w:val="24"/>
          <w:szCs w:val="24"/>
          <w:highlight w:val="none"/>
        </w:rPr>
        <w:t xml:space="preserve"> 、“常州市政府采购网”</w:t>
      </w:r>
      <w:r>
        <w:rPr>
          <w:rFonts w:hint="eastAsia" w:ascii="宋体" w:hAnsi="宋体" w:cs="宋体"/>
          <w:sz w:val="24"/>
          <w:highlight w:val="none"/>
        </w:rPr>
        <w:t xml:space="preserve">发布的招标文件不一致，请以“江苏政府采购网”</w:t>
      </w:r>
      <w:r>
        <w:rPr>
          <w:rFonts w:hint="eastAsia" w:ascii="宋体" w:hAnsi="宋体" w:cs="宋体"/>
          <w:sz w:val="24"/>
          <w:szCs w:val="24"/>
          <w:highlight w:val="none"/>
        </w:rPr>
        <w:t xml:space="preserve"> 、“常州市政府采购网”</w:t>
      </w:r>
      <w:r>
        <w:rPr>
          <w:rFonts w:hint="eastAsia" w:ascii="宋体" w:hAnsi="宋体" w:cs="宋体"/>
          <w:sz w:val="24"/>
          <w:highlight w:val="none"/>
        </w:rPr>
        <w:t xml:space="preserve">发布的招标文件为准。</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szCs w:val="24"/>
          <w:highlight w:val="none"/>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p>
    <w:p>
      <w:pPr>
        <w:pStyle w:val="1038"/>
        <w:numPr>
          <w:ilvl w:val="0"/>
          <w:numId w:val="5"/>
        </w:numPr>
        <w:jc w:val="left"/>
        <w:spacing w:line="360" w:lineRule="auto"/>
        <w:rPr>
          <w:rFonts w:ascii="宋体" w:hAnsi="宋体" w:cs="宋体"/>
          <w:sz w:val="24"/>
          <w:highlight w:val="none"/>
        </w:rPr>
      </w:pPr>
      <w:r>
        <w:rPr>
          <w:rFonts w:hint="eastAsia" w:ascii="宋体" w:hAnsi="宋体" w:cs="宋体"/>
          <w:sz w:val="24"/>
          <w:highlight w:val="none"/>
        </w:rPr>
        <w:t xml:space="preserve">投标报价</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所有投标均以人民币报价。</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038"/>
        <w:numPr>
          <w:ilvl w:val="2"/>
          <w:numId w:val="5"/>
        </w:numPr>
        <w:jc w:val="left"/>
        <w:spacing w:line="360" w:lineRule="auto"/>
        <w:rPr>
          <w:rFonts w:ascii="宋体" w:hAnsi="宋体" w:cs="宋体"/>
          <w:sz w:val="24"/>
          <w:highlight w:val="none"/>
        </w:rPr>
      </w:pPr>
      <w:r>
        <w:rPr>
          <w:rFonts w:hint="eastAsia" w:ascii="宋体" w:hAnsi="宋体" w:cs="宋体"/>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38"/>
        <w:numPr>
          <w:ilvl w:val="2"/>
          <w:numId w:val="5"/>
        </w:numPr>
        <w:jc w:val="left"/>
        <w:spacing w:line="360" w:lineRule="auto"/>
        <w:rPr>
          <w:rFonts w:ascii="宋体" w:hAnsi="宋体" w:cs="宋体"/>
          <w:sz w:val="24"/>
          <w:highlight w:val="none"/>
        </w:rPr>
      </w:pPr>
      <w:r>
        <w:rPr>
          <w:rFonts w:hint="eastAsia" w:ascii="宋体" w:hAnsi="宋体" w:cs="宋体"/>
          <w:sz w:val="24"/>
          <w:highlight w:val="none"/>
        </w:rPr>
        <w:t xml:space="preserve">按照招标文件要求完成本项目的全部相关服务费用。</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采购人不得向供应商索要或者接受其给予的赠品、回扣或者与采购无关的其他商品、服务。</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投标人不能提供任何有选择性或可调整的报价，否则其</w:t>
      </w:r>
      <w:r>
        <w:rPr>
          <w:rFonts w:hint="eastAsia" w:ascii="宋体" w:hAnsi="宋体" w:cs="宋体"/>
          <w:b/>
          <w:sz w:val="24"/>
          <w:highlight w:val="none"/>
        </w:rPr>
        <w:t xml:space="preserve">投标无效。</w:t>
      </w:r>
      <w:r/>
    </w:p>
    <w:p>
      <w:pPr>
        <w:pStyle w:val="1038"/>
        <w:numPr>
          <w:ilvl w:val="0"/>
          <w:numId w:val="5"/>
        </w:numPr>
        <w:jc w:val="left"/>
        <w:spacing w:line="360" w:lineRule="auto"/>
        <w:rPr>
          <w:rFonts w:ascii="宋体" w:hAnsi="宋体" w:cs="宋体"/>
          <w:sz w:val="24"/>
          <w:highlight w:val="none"/>
        </w:rPr>
      </w:pPr>
      <w:r>
        <w:rPr>
          <w:rFonts w:hint="eastAsia" w:ascii="宋体" w:hAnsi="宋体" w:cs="宋体"/>
          <w:sz w:val="24"/>
          <w:highlight w:val="none"/>
        </w:rPr>
        <w:t xml:space="preserve">投标保证金：根据江苏省和常州市的相关文件规定，免收保证金</w:t>
      </w:r>
      <w:r/>
    </w:p>
    <w:p>
      <w:pPr>
        <w:pStyle w:val="1038"/>
        <w:numPr>
          <w:ilvl w:val="0"/>
          <w:numId w:val="5"/>
        </w:numPr>
        <w:jc w:val="left"/>
        <w:spacing w:line="360" w:lineRule="auto"/>
        <w:rPr>
          <w:rFonts w:ascii="宋体" w:hAnsi="宋体" w:cs="宋体"/>
          <w:sz w:val="24"/>
          <w:highlight w:val="none"/>
        </w:rPr>
      </w:pPr>
      <w:r>
        <w:rPr>
          <w:rFonts w:hint="eastAsia" w:ascii="宋体" w:hAnsi="宋体" w:cs="宋体"/>
          <w:sz w:val="24"/>
          <w:highlight w:val="none"/>
        </w:rPr>
        <w:t xml:space="preserve">投标有效期</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sz w:val="24"/>
          <w:highlight w:val="none"/>
        </w:rPr>
        <w:t xml:space="preserve">投标无效。</w:t>
      </w:r>
      <w:r/>
    </w:p>
    <w:p>
      <w:pPr>
        <w:pStyle w:val="1038"/>
        <w:numPr>
          <w:ilvl w:val="0"/>
          <w:numId w:val="5"/>
        </w:numPr>
        <w:jc w:val="left"/>
        <w:spacing w:line="360" w:lineRule="auto"/>
        <w:rPr>
          <w:rFonts w:ascii="宋体" w:hAnsi="宋体" w:cs="宋体"/>
          <w:sz w:val="24"/>
          <w:highlight w:val="none"/>
        </w:rPr>
      </w:pPr>
      <w:r/>
      <w:bookmarkStart w:id="190" w:name="_Toc164608647"/>
      <w:r/>
      <w:bookmarkStart w:id="191" w:name="_Toc226309777"/>
      <w:r/>
      <w:bookmarkStart w:id="192" w:name="_Toc150774738"/>
      <w:r/>
      <w:bookmarkStart w:id="193" w:name="_Toc151190160"/>
      <w:r/>
      <w:bookmarkStart w:id="194" w:name="_Toc520356158"/>
      <w:r/>
      <w:bookmarkStart w:id="195" w:name="_Toc305158875"/>
      <w:r/>
      <w:bookmarkStart w:id="196" w:name="_Toc226965723"/>
      <w:r/>
      <w:bookmarkStart w:id="197" w:name="_Toc150774633"/>
      <w:r/>
      <w:bookmarkStart w:id="198" w:name="_Toc265228371"/>
      <w:r/>
      <w:bookmarkStart w:id="199" w:name="_Toc164229228"/>
      <w:r/>
      <w:bookmarkStart w:id="200" w:name="_Toc164351627"/>
      <w:r/>
      <w:bookmarkStart w:id="201" w:name="_Toc127151533"/>
      <w:r/>
      <w:bookmarkStart w:id="202" w:name="_Toc151193921"/>
      <w:r/>
      <w:bookmarkStart w:id="203" w:name="_Toc226337229"/>
      <w:r/>
      <w:bookmarkStart w:id="204" w:name="_Toc151193775"/>
      <w:r/>
      <w:bookmarkStart w:id="205" w:name="_Toc127151734"/>
      <w:r/>
      <w:bookmarkStart w:id="206" w:name="_Toc195842898"/>
      <w:r/>
      <w:bookmarkStart w:id="207" w:name="_Toc150509284"/>
      <w:r/>
      <w:bookmarkStart w:id="208" w:name="_Toc149720826"/>
      <w:r/>
      <w:bookmarkStart w:id="209" w:name="_Toc151193631"/>
      <w:r/>
      <w:bookmarkStart w:id="210" w:name="_Toc226965806"/>
      <w:r/>
      <w:bookmarkStart w:id="211" w:name="_Toc164229374"/>
      <w:r/>
      <w:bookmarkStart w:id="212" w:name="_Toc142311035"/>
      <w:r/>
      <w:bookmarkStart w:id="213" w:name="_Toc164608802"/>
      <w:r/>
      <w:bookmarkStart w:id="214" w:name="_Toc264969223"/>
      <w:r/>
      <w:bookmarkStart w:id="215" w:name="_Toc127161447"/>
      <w:r/>
      <w:bookmarkStart w:id="216" w:name="_Toc151193847"/>
      <w:r/>
      <w:bookmarkStart w:id="217" w:name="_Toc150480771"/>
      <w:r/>
      <w:bookmarkStart w:id="218" w:name="_Toc151193703"/>
      <w:r/>
      <w:bookmarkStart w:id="219" w:name="_Toc305158801"/>
      <w:r>
        <w:rPr>
          <w:rFonts w:hint="eastAsia" w:ascii="宋体" w:hAnsi="宋体" w:cs="宋体"/>
          <w:sz w:val="24"/>
          <w:highlight w:val="none"/>
        </w:rPr>
        <w:t xml:space="preserve">投标文件的</w:t>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Pr>
          <w:rFonts w:hint="eastAsia" w:ascii="宋体" w:hAnsi="宋体" w:cs="宋体"/>
          <w:sz w:val="24"/>
          <w:highlight w:val="none"/>
        </w:rPr>
        <w:t xml:space="preserve">制作、密封与盖章</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招标文件要求签字的内容，可以使用电子签章或使用原件的电子件（电子件指扫描件、照片等形式电子文件）；要求第三方出具的加盖公章原件（如联合协议、分包意向协议、制造商授权书等），投标文件中应使用原件的电子件。</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招标文件要求加盖公章的内容，一般通过投标文件编制工具加盖电子签章。</w:t>
      </w:r>
      <w:r/>
    </w:p>
    <w:p>
      <w:pPr>
        <w:ind w:left="267" w:hanging="267"/>
        <w:jc w:val="center"/>
        <w:spacing w:line="360" w:lineRule="auto"/>
        <w:rPr>
          <w:rFonts w:ascii="宋体" w:hAnsi="宋体" w:cs="宋体"/>
          <w:sz w:val="24"/>
          <w:highlight w:val="none"/>
        </w:rPr>
      </w:pPr>
      <w:r/>
      <w:bookmarkStart w:id="220" w:name="_Toc150509285"/>
      <w:r/>
      <w:bookmarkStart w:id="221" w:name="_Toc226965807"/>
      <w:r/>
      <w:bookmarkStart w:id="222" w:name="_Toc150774739"/>
      <w:r/>
      <w:bookmarkStart w:id="223" w:name="_Toc520356159"/>
      <w:r/>
      <w:bookmarkStart w:id="224" w:name="_Toc151193922"/>
      <w:r/>
      <w:bookmarkStart w:id="225" w:name="_Toc151193632"/>
      <w:r/>
      <w:bookmarkStart w:id="226" w:name="_Toc150774634"/>
      <w:r/>
      <w:bookmarkStart w:id="227" w:name="_Toc226965724"/>
      <w:r/>
      <w:bookmarkStart w:id="228" w:name="_Toc265228372"/>
      <w:r/>
      <w:bookmarkStart w:id="229" w:name="_Toc151193848"/>
      <w:r/>
      <w:bookmarkStart w:id="230" w:name="_Toc150480772"/>
      <w:r/>
      <w:bookmarkStart w:id="231" w:name="_Toc226309778"/>
      <w:r/>
      <w:bookmarkStart w:id="232" w:name="_Toc305158876"/>
      <w:r/>
      <w:bookmarkStart w:id="233" w:name="_Toc142311036"/>
      <w:r/>
      <w:bookmarkStart w:id="234" w:name="_Toc305158802"/>
      <w:r/>
      <w:bookmarkStart w:id="235" w:name="_Toc151190161"/>
      <w:r/>
      <w:bookmarkStart w:id="236" w:name="_Toc226337230"/>
      <w:r/>
      <w:bookmarkStart w:id="237" w:name="_Toc264969224"/>
      <w:r/>
      <w:bookmarkStart w:id="238" w:name="_Toc151193776"/>
      <w:r/>
      <w:bookmarkStart w:id="239" w:name="_Toc195842899"/>
      <w:r/>
      <w:bookmarkStart w:id="240" w:name="_Toc151193704"/>
      <w:r/>
      <w:bookmarkStart w:id="241" w:name="_Toc127151534"/>
      <w:r>
        <w:rPr>
          <w:rFonts w:hint="eastAsia" w:ascii="宋体" w:hAnsi="宋体" w:cs="宋体"/>
          <w:b/>
          <w:sz w:val="28"/>
          <w:szCs w:val="28"/>
          <w:highlight w:val="none"/>
        </w:rPr>
        <w:t xml:space="preserve">四、投标文件的提交</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r/>
    </w:p>
    <w:p>
      <w:pPr>
        <w:pStyle w:val="1038"/>
        <w:numPr>
          <w:ilvl w:val="0"/>
          <w:numId w:val="5"/>
        </w:numPr>
        <w:jc w:val="left"/>
        <w:spacing w:line="360" w:lineRule="auto"/>
        <w:rPr>
          <w:rFonts w:ascii="宋体" w:hAnsi="宋体" w:cs="宋体"/>
          <w:sz w:val="24"/>
          <w:highlight w:val="none"/>
        </w:rPr>
      </w:pPr>
      <w:r/>
      <w:bookmarkStart w:id="242" w:name="_Toc164229230"/>
      <w:r/>
      <w:bookmarkStart w:id="243" w:name="_Toc305158803"/>
      <w:r/>
      <w:bookmarkStart w:id="244" w:name="_Toc150480773"/>
      <w:r/>
      <w:bookmarkStart w:id="245" w:name="_Toc150774635"/>
      <w:r/>
      <w:bookmarkStart w:id="246" w:name="_Toc520356160"/>
      <w:r/>
      <w:bookmarkStart w:id="247" w:name="_Toc226337231"/>
      <w:r/>
      <w:bookmarkStart w:id="248" w:name="_Toc264969225"/>
      <w:r/>
      <w:bookmarkStart w:id="249" w:name="_Toc150774740"/>
      <w:r/>
      <w:bookmarkStart w:id="250" w:name="_Toc226965725"/>
      <w:r/>
      <w:bookmarkStart w:id="251" w:name="_Toc226965808"/>
      <w:r/>
      <w:bookmarkStart w:id="252" w:name="_Toc151193633"/>
      <w:r/>
      <w:bookmarkStart w:id="253" w:name="_Toc195842900"/>
      <w:r/>
      <w:bookmarkStart w:id="254" w:name="_Toc142311037"/>
      <w:r/>
      <w:bookmarkStart w:id="255" w:name="_Toc164229376"/>
      <w:r/>
      <w:bookmarkStart w:id="256" w:name="_Toc164351629"/>
      <w:r/>
      <w:bookmarkStart w:id="257" w:name="_Toc151190162"/>
      <w:r/>
      <w:bookmarkStart w:id="258" w:name="_Toc149720828"/>
      <w:r/>
      <w:bookmarkStart w:id="259" w:name="_Toc151193923"/>
      <w:r/>
      <w:bookmarkStart w:id="260" w:name="_Toc151193849"/>
      <w:r/>
      <w:bookmarkStart w:id="261" w:name="_Toc305158877"/>
      <w:r/>
      <w:bookmarkStart w:id="262" w:name="_Toc127151736"/>
      <w:r/>
      <w:bookmarkStart w:id="263" w:name="_Toc164608804"/>
      <w:r/>
      <w:bookmarkStart w:id="264" w:name="_Toc127161449"/>
      <w:r/>
      <w:bookmarkStart w:id="265" w:name="_Toc265228373"/>
      <w:r/>
      <w:bookmarkStart w:id="266" w:name="_Toc151193705"/>
      <w:r/>
      <w:bookmarkStart w:id="267" w:name="_Toc164608649"/>
      <w:r/>
      <w:bookmarkStart w:id="268" w:name="_Toc127151535"/>
      <w:r/>
      <w:bookmarkStart w:id="269" w:name="_Toc150509286"/>
      <w:r/>
      <w:bookmarkStart w:id="270" w:name="_Toc151193777"/>
      <w:r/>
      <w:bookmarkStart w:id="271" w:name="_Toc226309779"/>
      <w:r>
        <w:rPr>
          <w:rFonts w:hint="eastAsia" w:ascii="宋体" w:hAnsi="宋体" w:cs="宋体"/>
          <w:sz w:val="24"/>
          <w:highlight w:val="none"/>
        </w:rPr>
        <w:t xml:space="preserve">投标文件的</w:t>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Pr>
          <w:rFonts w:hint="eastAsia" w:ascii="宋体" w:hAnsi="宋体" w:cs="宋体"/>
          <w:sz w:val="24"/>
          <w:highlight w:val="none"/>
        </w:rPr>
        <w:t xml:space="preserve">提交</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本项目使用“苏采云”系统。投标人根据招标文件及“苏采云”系统供应商操作手册要求编制、生成并提交电子投标文件。</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采购人及采购代理机构拒绝接受通过“苏采云”系统以外任何形式提交的投标文件。</w:t>
      </w:r>
      <w:r/>
    </w:p>
    <w:p>
      <w:pPr>
        <w:pStyle w:val="1038"/>
        <w:numPr>
          <w:ilvl w:val="0"/>
          <w:numId w:val="5"/>
        </w:numPr>
        <w:jc w:val="left"/>
        <w:spacing w:line="360" w:lineRule="auto"/>
        <w:rPr>
          <w:rFonts w:ascii="宋体" w:hAnsi="宋体" w:cs="宋体"/>
          <w:sz w:val="24"/>
          <w:highlight w:val="none"/>
        </w:rPr>
      </w:pPr>
      <w:r/>
      <w:bookmarkStart w:id="272" w:name="_Toc151193634"/>
      <w:r/>
      <w:bookmarkStart w:id="273" w:name="_Toc150480774"/>
      <w:r/>
      <w:bookmarkStart w:id="274" w:name="_Toc164229377"/>
      <w:r/>
      <w:bookmarkStart w:id="275" w:name="_Toc195842901"/>
      <w:r/>
      <w:bookmarkStart w:id="276" w:name="_Toc305158878"/>
      <w:r/>
      <w:bookmarkStart w:id="277" w:name="_Toc151193706"/>
      <w:r/>
      <w:bookmarkStart w:id="278" w:name="_Toc127151536"/>
      <w:r/>
      <w:bookmarkStart w:id="279" w:name="_Toc150509287"/>
      <w:r/>
      <w:bookmarkStart w:id="280" w:name="_Toc520356161"/>
      <w:r/>
      <w:bookmarkStart w:id="281" w:name="_Toc226337232"/>
      <w:r/>
      <w:bookmarkStart w:id="282" w:name="_Toc226965726"/>
      <w:r/>
      <w:bookmarkStart w:id="283" w:name="_Toc127161450"/>
      <w:r/>
      <w:bookmarkStart w:id="284" w:name="_Toc151193850"/>
      <w:r/>
      <w:bookmarkStart w:id="285" w:name="_Toc150774636"/>
      <w:r/>
      <w:bookmarkStart w:id="286" w:name="_Toc265228374"/>
      <w:r/>
      <w:bookmarkStart w:id="287" w:name="_Toc164229231"/>
      <w:r/>
      <w:bookmarkStart w:id="288" w:name="_Toc164608650"/>
      <w:r/>
      <w:bookmarkStart w:id="289" w:name="_Toc226965809"/>
      <w:r/>
      <w:bookmarkStart w:id="290" w:name="_Toc164351630"/>
      <w:r/>
      <w:bookmarkStart w:id="291" w:name="_Toc226309780"/>
      <w:r/>
      <w:bookmarkStart w:id="292" w:name="_Toc164608805"/>
      <w:r/>
      <w:bookmarkStart w:id="293" w:name="_Toc127151737"/>
      <w:r/>
      <w:bookmarkStart w:id="294" w:name="_Toc264969226"/>
      <w:r/>
      <w:bookmarkStart w:id="295" w:name="_Toc151193778"/>
      <w:r/>
      <w:bookmarkStart w:id="296" w:name="_Toc305158804"/>
      <w:r/>
      <w:bookmarkStart w:id="297" w:name="_Toc149720829"/>
      <w:r/>
      <w:bookmarkStart w:id="298" w:name="_Toc142311038"/>
      <w:r/>
      <w:bookmarkStart w:id="299" w:name="_Toc150774741"/>
      <w:r/>
      <w:bookmarkStart w:id="300" w:name="_Toc151193924"/>
      <w:r/>
      <w:bookmarkStart w:id="301" w:name="_Toc151190163"/>
      <w:r>
        <w:rPr>
          <w:rFonts w:hint="eastAsia" w:ascii="宋体" w:hAnsi="宋体" w:cs="宋体"/>
          <w:sz w:val="24"/>
          <w:highlight w:val="none"/>
        </w:rPr>
        <w:t xml:space="preserve">投标截止</w:t>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rPr>
          <w:rFonts w:hint="eastAsia" w:ascii="宋体" w:hAnsi="宋体" w:cs="宋体"/>
          <w:sz w:val="24"/>
          <w:highlight w:val="none"/>
        </w:rPr>
        <w:t xml:space="preserve">时间</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投标人应在招标文件要求提交投标文件截止时间前，将电子投标文件提交至“苏采云”系统。</w:t>
      </w:r>
      <w:r/>
    </w:p>
    <w:p>
      <w:pPr>
        <w:pStyle w:val="1038"/>
        <w:numPr>
          <w:ilvl w:val="0"/>
          <w:numId w:val="5"/>
        </w:numPr>
        <w:jc w:val="left"/>
        <w:spacing w:line="360" w:lineRule="auto"/>
        <w:rPr>
          <w:rFonts w:ascii="宋体" w:hAnsi="宋体" w:cs="宋体"/>
          <w:sz w:val="24"/>
          <w:highlight w:val="none"/>
        </w:rPr>
      </w:pPr>
      <w:r/>
      <w:bookmarkStart w:id="302" w:name="_Toc265228375"/>
      <w:r/>
      <w:bookmarkStart w:id="303" w:name="_Toc151193707"/>
      <w:r/>
      <w:bookmarkStart w:id="304" w:name="_Toc264969227"/>
      <w:r/>
      <w:bookmarkStart w:id="305" w:name="_Toc151193635"/>
      <w:r/>
      <w:bookmarkStart w:id="306" w:name="_Toc305158805"/>
      <w:r/>
      <w:bookmarkStart w:id="307" w:name="_Toc164229232"/>
      <w:r/>
      <w:bookmarkStart w:id="308" w:name="_Toc149720830"/>
      <w:r/>
      <w:bookmarkStart w:id="309" w:name="_Toc226965727"/>
      <w:r/>
      <w:bookmarkStart w:id="310" w:name="_Toc150480775"/>
      <w:r/>
      <w:bookmarkStart w:id="311" w:name="_Toc142311039"/>
      <w:r/>
      <w:bookmarkStart w:id="312" w:name="_Toc195842902"/>
      <w:r/>
      <w:bookmarkStart w:id="313" w:name="_Toc151193779"/>
      <w:r/>
      <w:bookmarkStart w:id="314" w:name="_Toc127151738"/>
      <w:r/>
      <w:bookmarkStart w:id="315" w:name="_Toc150509288"/>
      <w:r/>
      <w:bookmarkStart w:id="316" w:name="_Toc226337233"/>
      <w:r/>
      <w:bookmarkStart w:id="317" w:name="_Toc151193925"/>
      <w:r/>
      <w:bookmarkStart w:id="318" w:name="_Toc226309781"/>
      <w:r/>
      <w:bookmarkStart w:id="319" w:name="_Toc164351631"/>
      <w:r/>
      <w:bookmarkStart w:id="320" w:name="_Toc164608806"/>
      <w:r/>
      <w:bookmarkStart w:id="321" w:name="_Toc520356162"/>
      <w:r/>
      <w:bookmarkStart w:id="322" w:name="_Toc151193851"/>
      <w:r/>
      <w:bookmarkStart w:id="323" w:name="_Toc151190164"/>
      <w:r/>
      <w:bookmarkStart w:id="324" w:name="_Toc150774742"/>
      <w:r/>
      <w:bookmarkStart w:id="325" w:name="_Toc164608651"/>
      <w:r/>
      <w:bookmarkStart w:id="326" w:name="_Toc127151537"/>
      <w:r/>
      <w:bookmarkStart w:id="327" w:name="_Toc164229378"/>
      <w:r/>
      <w:bookmarkStart w:id="328" w:name="_Toc127161451"/>
      <w:r/>
      <w:bookmarkStart w:id="329" w:name="_Toc305158879"/>
      <w:r/>
      <w:bookmarkStart w:id="330" w:name="_Toc226965810"/>
      <w:r/>
      <w:bookmarkStart w:id="331" w:name="_Toc150774637"/>
      <w:r>
        <w:rPr>
          <w:rFonts w:hint="eastAsia" w:ascii="宋体" w:hAnsi="宋体" w:cs="宋体"/>
          <w:sz w:val="24"/>
          <w:highlight w:val="none"/>
        </w:rPr>
        <w:t xml:space="preserve">投标文件的修改与撤回</w:t>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投标截止时间前，投标人可以通过“苏采云”系统对所提交的投标文件进行补充、修改或者撤回。具体操作方法见《操作手册》。</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投标人对投标文件的补充、修改的内容应当按照招标文件要求签署、加盖公章，作为投标文件的组成部分</w:t>
      </w:r>
      <w:r>
        <w:rPr>
          <w:rFonts w:hint="eastAsia" w:ascii="宋体" w:hAnsi="宋体" w:cs="宋体"/>
          <w:sz w:val="24"/>
          <w:highlight w:val="none"/>
        </w:rPr>
        <w:t xml:space="preserve">。</w:t>
      </w:r>
      <w:r/>
    </w:p>
    <w:p>
      <w:pPr>
        <w:pStyle w:val="1038"/>
        <w:numPr>
          <w:ilvl w:val="1"/>
          <w:numId w:val="5"/>
        </w:numPr>
        <w:jc w:val="left"/>
        <w:spacing w:line="360" w:lineRule="auto"/>
        <w:rPr>
          <w:rFonts w:ascii="宋体" w:hAnsi="宋体" w:cs="宋体"/>
          <w:sz w:val="24"/>
          <w:highlight w:val="none"/>
        </w:rPr>
      </w:pPr>
      <w:r>
        <w:rPr>
          <w:rFonts w:hint="eastAsia" w:ascii="宋体" w:hAnsi="宋体" w:cs="宋体"/>
          <w:bCs/>
          <w:sz w:val="24"/>
          <w:highlight w:val="none"/>
        </w:rPr>
        <w:t xml:space="preserve">在投标截止时间至招标文件中规定的投标有效期满之间的这段时间内，投标人不得撤回其投标。</w:t>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r/>
    </w:p>
    <w:p>
      <w:pPr>
        <w:ind w:left="267" w:hanging="267"/>
        <w:jc w:val="center"/>
        <w:spacing w:line="360" w:lineRule="auto"/>
        <w:rPr>
          <w:rFonts w:ascii="宋体" w:hAnsi="宋体" w:cs="宋体"/>
          <w:b/>
          <w:sz w:val="28"/>
          <w:szCs w:val="28"/>
          <w:highlight w:val="none"/>
        </w:rPr>
      </w:pPr>
      <w:r/>
      <w:bookmarkStart w:id="332" w:name="_Toc265228376"/>
      <w:r/>
      <w:bookmarkStart w:id="333" w:name="_Toc151193926"/>
      <w:r/>
      <w:bookmarkStart w:id="334" w:name="_Toc305158806"/>
      <w:r/>
      <w:bookmarkStart w:id="335" w:name="_Toc151193636"/>
      <w:r/>
      <w:bookmarkStart w:id="336" w:name="_Toc151190165"/>
      <w:r/>
      <w:bookmarkStart w:id="337" w:name="_Toc195842903"/>
      <w:r/>
      <w:bookmarkStart w:id="338" w:name="_Toc150480776"/>
      <w:r/>
      <w:bookmarkStart w:id="339" w:name="_Toc142311040"/>
      <w:r/>
      <w:bookmarkStart w:id="340" w:name="_Toc151193780"/>
      <w:r/>
      <w:bookmarkStart w:id="341" w:name="_Toc151193852"/>
      <w:r/>
      <w:bookmarkStart w:id="342" w:name="_Toc226337234"/>
      <w:r/>
      <w:bookmarkStart w:id="343" w:name="_Toc226965811"/>
      <w:r/>
      <w:bookmarkStart w:id="344" w:name="_Toc226309782"/>
      <w:r/>
      <w:bookmarkStart w:id="345" w:name="_Toc150509289"/>
      <w:r/>
      <w:bookmarkStart w:id="346" w:name="_Toc150774743"/>
      <w:r/>
      <w:bookmarkStart w:id="347" w:name="_Toc264969228"/>
      <w:r/>
      <w:bookmarkStart w:id="348" w:name="_Toc305158880"/>
      <w:r/>
      <w:bookmarkStart w:id="349" w:name="_Toc226965728"/>
      <w:r/>
      <w:bookmarkStart w:id="350" w:name="_Toc520356163"/>
      <w:r/>
      <w:bookmarkStart w:id="351" w:name="_Toc127151538"/>
      <w:r/>
      <w:bookmarkStart w:id="352" w:name="_Toc151193708"/>
      <w:r/>
      <w:bookmarkStart w:id="353" w:name="_Toc150774638"/>
      <w:r>
        <w:rPr>
          <w:rFonts w:hint="eastAsia" w:ascii="宋体" w:hAnsi="宋体" w:cs="宋体"/>
          <w:b/>
          <w:sz w:val="28"/>
          <w:szCs w:val="28"/>
          <w:highlight w:val="none"/>
        </w:rPr>
        <w:t xml:space="preserve">五</w:t>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rPr>
          <w:rFonts w:hint="eastAsia" w:ascii="宋体" w:hAnsi="宋体" w:cs="宋体"/>
          <w:b/>
          <w:sz w:val="28"/>
          <w:szCs w:val="28"/>
          <w:highlight w:val="none"/>
        </w:rPr>
        <w:t xml:space="preserve">、开标、资格审查及评标</w:t>
      </w:r>
      <w:r/>
    </w:p>
    <w:p>
      <w:pPr>
        <w:pStyle w:val="1038"/>
        <w:numPr>
          <w:ilvl w:val="0"/>
          <w:numId w:val="5"/>
        </w:numPr>
        <w:jc w:val="left"/>
        <w:spacing w:line="360" w:lineRule="auto"/>
        <w:rPr>
          <w:rFonts w:ascii="宋体" w:hAnsi="宋体" w:cs="宋体"/>
          <w:sz w:val="24"/>
          <w:highlight w:val="none"/>
        </w:rPr>
      </w:pPr>
      <w:r>
        <w:rPr>
          <w:rFonts w:hint="eastAsia" w:ascii="宋体" w:hAnsi="宋体" w:cs="宋体"/>
          <w:sz w:val="24"/>
          <w:highlight w:val="none"/>
        </w:rPr>
        <w:t xml:space="preserve">开标</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采购人或采购代理机构将按招标文件的规定，在投标截止时间的同一时间和招标文件预先确定的地点组织开标。</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本项目开标采用不见面招投标模式，使用“苏采云”系统在线进行开标。投标人应在规定的时间内对投标文件进行解密，因非系统原因导致的解密失败，视为</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开标过程将使用“苏采云”系统公布投标人名称、投标价格和招标文件规定的需要宣布的其他内容并进行记录，并由参加开标的各投标人代表在规定时间内确认。投标人超过规定时间未确认但是未提出疑义的，系统将视同已确认。</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投标人如果对开标过程和开标记录有疑义，应当根据《操作手册》规定提出，如“苏采云”系统中《开标记录表》宣布后5分钟内未提出的，视同认可开标结果。</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本项目（每标段）投标人不足3家的，不予开标。</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如果在采购活动过程中出现以下情形，导致““苏采云”系统”系统无法正常运行，或者无法保证本项目采购活动的公平、公正和</w:t>
      </w:r>
      <w:r>
        <w:rPr>
          <w:rFonts w:hint="eastAsia" w:ascii="宋体" w:hAnsi="宋体" w:cs="宋体"/>
          <w:sz w:val="24"/>
          <w:highlight w:val="none"/>
        </w:rPr>
        <w:t xml:space="preserve">安全时，代理机构可以延缓或者暂停采购活动，情况严重的可以终止采购活动：1)平台系统发生故障而无法登录访问的；2)平台系统应用或数据库出现错误，不能进行正常操作的；3)平台系统发现严重安全漏洞，有潜在泄密危险的；4)病毒发作导致平台系统不能进行正常操作的；5)其他无法保证本次采购活动的公平、公正和安全的情况。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38"/>
        <w:numPr>
          <w:ilvl w:val="0"/>
          <w:numId w:val="5"/>
        </w:numPr>
        <w:jc w:val="left"/>
        <w:spacing w:line="360" w:lineRule="auto"/>
        <w:rPr>
          <w:rFonts w:ascii="宋体" w:hAnsi="宋体" w:cs="宋体"/>
          <w:sz w:val="24"/>
          <w:highlight w:val="none"/>
        </w:rPr>
      </w:pPr>
      <w:r>
        <w:rPr>
          <w:rFonts w:hint="eastAsia" w:ascii="宋体" w:hAnsi="宋体" w:cs="宋体"/>
          <w:sz w:val="24"/>
          <w:highlight w:val="none"/>
        </w:rPr>
        <w:t xml:space="preserve">资格审查</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见第三章《资格审查》</w:t>
      </w:r>
      <w:r/>
    </w:p>
    <w:p>
      <w:pPr>
        <w:pStyle w:val="1038"/>
        <w:numPr>
          <w:ilvl w:val="0"/>
          <w:numId w:val="5"/>
        </w:numPr>
        <w:jc w:val="left"/>
        <w:spacing w:line="360" w:lineRule="auto"/>
        <w:rPr>
          <w:rFonts w:ascii="宋体" w:hAnsi="宋体" w:cs="宋体"/>
          <w:sz w:val="24"/>
          <w:highlight w:val="none"/>
        </w:rPr>
      </w:pPr>
      <w:r/>
      <w:bookmarkStart w:id="354" w:name="_Toc127151741"/>
      <w:r/>
      <w:bookmarkStart w:id="355" w:name="_Toc164229381"/>
      <w:r/>
      <w:bookmarkStart w:id="356" w:name="_Toc150774640"/>
      <w:r/>
      <w:bookmarkStart w:id="357" w:name="_Toc305158882"/>
      <w:r/>
      <w:bookmarkStart w:id="358" w:name="_Toc151193928"/>
      <w:r/>
      <w:bookmarkStart w:id="359" w:name="_Toc195842905"/>
      <w:r/>
      <w:bookmarkStart w:id="360" w:name="_Toc150509291"/>
      <w:r/>
      <w:bookmarkStart w:id="361" w:name="_Toc164608809"/>
      <w:r/>
      <w:bookmarkStart w:id="362" w:name="_Toc151193854"/>
      <w:r/>
      <w:bookmarkStart w:id="363" w:name="_Toc226337236"/>
      <w:r/>
      <w:bookmarkStart w:id="364" w:name="_Toc149720833"/>
      <w:r/>
      <w:bookmarkStart w:id="365" w:name="_Toc142311042"/>
      <w:r/>
      <w:bookmarkStart w:id="366" w:name="_Toc151190167"/>
      <w:r/>
      <w:bookmarkStart w:id="367" w:name="_Toc151193710"/>
      <w:r/>
      <w:bookmarkStart w:id="368" w:name="_Toc151193782"/>
      <w:r/>
      <w:bookmarkStart w:id="369" w:name="_Toc226965730"/>
      <w:r/>
      <w:bookmarkStart w:id="370" w:name="_Toc226309784"/>
      <w:r/>
      <w:bookmarkStart w:id="371" w:name="_Toc164351634"/>
      <w:r/>
      <w:bookmarkStart w:id="372" w:name="_Toc265228378"/>
      <w:r/>
      <w:bookmarkStart w:id="373" w:name="_Toc150774745"/>
      <w:r/>
      <w:bookmarkStart w:id="374" w:name="_Toc226965813"/>
      <w:r/>
      <w:bookmarkStart w:id="375" w:name="_Toc164229235"/>
      <w:r/>
      <w:bookmarkStart w:id="376" w:name="_Toc150480778"/>
      <w:r/>
      <w:bookmarkStart w:id="377" w:name="_Toc127151540"/>
      <w:r/>
      <w:bookmarkStart w:id="378" w:name="_Toc127161454"/>
      <w:r/>
      <w:bookmarkStart w:id="379" w:name="_Toc151193638"/>
      <w:r/>
      <w:bookmarkStart w:id="380" w:name="_Toc264969230"/>
      <w:r/>
      <w:bookmarkStart w:id="381" w:name="_Toc164608654"/>
      <w:r/>
      <w:bookmarkStart w:id="382" w:name="_Toc305158808"/>
      <w:r>
        <w:rPr>
          <w:rFonts w:hint="eastAsia" w:ascii="宋体" w:hAnsi="宋体" w:cs="宋体"/>
          <w:sz w:val="24"/>
          <w:highlight w:val="none"/>
        </w:rPr>
        <w:t xml:space="preserve">评标委员会</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评标委员会根据政府采购有关规定和本次招标采购项目的特点进行组建，并负责具体评标事务，独立履行职责。</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评审专家须符合相关规定。依法自行选定评审专家的，采购人和采购代理机构将查询有关信用记录，对具有行贿、受贿、欺诈等不良信用记录的人员，拒绝其参与政府采购活动。</w:t>
      </w:r>
      <w:r/>
    </w:p>
    <w:p>
      <w:pPr>
        <w:pStyle w:val="1038"/>
        <w:numPr>
          <w:ilvl w:val="0"/>
          <w:numId w:val="5"/>
        </w:numPr>
        <w:jc w:val="left"/>
        <w:spacing w:line="360" w:lineRule="auto"/>
        <w:rPr>
          <w:rFonts w:ascii="宋体" w:hAnsi="宋体" w:cs="宋体"/>
          <w:sz w:val="24"/>
          <w:highlight w:val="none"/>
        </w:rPr>
      </w:pPr>
      <w:r>
        <w:rPr>
          <w:rFonts w:hint="eastAsia" w:ascii="宋体" w:hAnsi="宋体" w:cs="宋体"/>
          <w:sz w:val="24"/>
          <w:highlight w:val="none"/>
        </w:rPr>
        <w:t xml:space="preserve">评标程序、评标方法和评标标准</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见第四章《评标程序、评标方法和评标标准》。</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评审内容的保密</w:t>
      </w:r>
      <w:r/>
    </w:p>
    <w:p>
      <w:pPr>
        <w:pStyle w:val="1038"/>
        <w:numPr>
          <w:ilvl w:val="2"/>
          <w:numId w:val="5"/>
        </w:numPr>
        <w:jc w:val="left"/>
        <w:spacing w:line="360" w:lineRule="auto"/>
        <w:rPr>
          <w:rFonts w:ascii="宋体" w:hAnsi="宋体" w:cs="宋体"/>
          <w:sz w:val="24"/>
          <w:highlight w:val="none"/>
        </w:rPr>
      </w:pPr>
      <w:r>
        <w:rPr>
          <w:rFonts w:hint="eastAsia" w:ascii="宋体" w:hAnsi="宋体" w:cs="宋体"/>
          <w:sz w:val="24"/>
          <w:highlight w:val="none"/>
        </w:rPr>
        <w:t xml:space="preserve">开标开始后，直到宣布授予中标人合同为止，凡属于审查、澄清、评价和比较投标文件的所有资料，有关授予合同的信息都不应向投标人或与评审无关的其他人泄露。</w:t>
      </w:r>
      <w:r/>
    </w:p>
    <w:p>
      <w:pPr>
        <w:pStyle w:val="1038"/>
        <w:numPr>
          <w:ilvl w:val="2"/>
          <w:numId w:val="5"/>
        </w:numPr>
        <w:jc w:val="left"/>
        <w:spacing w:line="360" w:lineRule="auto"/>
        <w:rPr>
          <w:rFonts w:ascii="宋体" w:hAnsi="宋体" w:cs="宋体"/>
          <w:sz w:val="24"/>
          <w:highlight w:val="none"/>
        </w:rPr>
      </w:pPr>
      <w:r>
        <w:rPr>
          <w:rFonts w:hint="eastAsia" w:ascii="宋体" w:hAnsi="宋体" w:cs="宋体"/>
          <w:sz w:val="24"/>
          <w:highlight w:val="none"/>
        </w:rPr>
        <w:t xml:space="preserve">在评审过程中，投标人不得以任何行为影响评审过程，否则其投标文件将被作为无效投标文件。</w:t>
      </w:r>
      <w:r/>
    </w:p>
    <w:p>
      <w:pPr>
        <w:pStyle w:val="1038"/>
        <w:numPr>
          <w:ilvl w:val="2"/>
          <w:numId w:val="5"/>
        </w:numPr>
        <w:jc w:val="left"/>
        <w:spacing w:line="360" w:lineRule="auto"/>
        <w:rPr>
          <w:rFonts w:ascii="宋体" w:hAnsi="宋体" w:cs="宋体"/>
          <w:sz w:val="24"/>
          <w:highlight w:val="none"/>
        </w:rPr>
      </w:pPr>
      <w:r>
        <w:rPr>
          <w:rFonts w:hint="eastAsia" w:ascii="宋体" w:hAnsi="宋体" w:cs="宋体"/>
          <w:sz w:val="24"/>
          <w:highlight w:val="none"/>
        </w:rPr>
        <w:t xml:space="preserve">评标委员会不向未中标的投标人解释未中标原因，也不公布评审过程中的相关细节。</w:t>
      </w:r>
      <w:r/>
    </w:p>
    <w:p>
      <w:pPr>
        <w:ind w:left="267" w:hanging="267"/>
        <w:jc w:val="center"/>
        <w:spacing w:line="360" w:lineRule="auto"/>
        <w:rPr>
          <w:rFonts w:ascii="宋体" w:hAnsi="宋体" w:cs="宋体"/>
          <w:b/>
          <w:sz w:val="28"/>
          <w:szCs w:val="28"/>
          <w:highlight w:val="none"/>
        </w:rPr>
      </w:pPr>
      <w:r/>
      <w:bookmarkStart w:id="383" w:name="_Toc520356169"/>
      <w:r/>
      <w:bookmarkStart w:id="384" w:name="_Toc226965735"/>
      <w:r/>
      <w:bookmarkStart w:id="385" w:name="_Toc150509296"/>
      <w:r/>
      <w:bookmarkStart w:id="386" w:name="_Toc265228383"/>
      <w:r/>
      <w:bookmarkStart w:id="387" w:name="_Toc195842910"/>
      <w:r/>
      <w:bookmarkStart w:id="388" w:name="_Toc150480783"/>
      <w:r/>
      <w:bookmarkStart w:id="389" w:name="_Toc151190172"/>
      <w:r/>
      <w:bookmarkStart w:id="390" w:name="_Toc226309789"/>
      <w:r/>
      <w:bookmarkStart w:id="391" w:name="_Toc142311047"/>
      <w:r/>
      <w:bookmarkStart w:id="392" w:name="_Toc226337241"/>
      <w:r/>
      <w:bookmarkStart w:id="393" w:name="_Toc127151545"/>
      <w:r/>
      <w:bookmarkStart w:id="394" w:name="_Toc264969235"/>
      <w:r/>
      <w:bookmarkStart w:id="395" w:name="_Toc305158813"/>
      <w:r/>
      <w:bookmarkStart w:id="396" w:name="_Toc226965818"/>
      <w:r/>
      <w:bookmarkStart w:id="397" w:name="_Toc150774645"/>
      <w:r/>
      <w:bookmarkStart w:id="398" w:name="_Toc151193859"/>
      <w:r/>
      <w:bookmarkStart w:id="399" w:name="_Toc151193933"/>
      <w:r/>
      <w:bookmarkStart w:id="400" w:name="_Toc151193787"/>
      <w:r/>
      <w:bookmarkStart w:id="401" w:name="_Toc150774750"/>
      <w:r/>
      <w:bookmarkStart w:id="402" w:name="_Toc151193643"/>
      <w:r/>
      <w:bookmarkStart w:id="403" w:name="_Toc305158887"/>
      <w:r/>
      <w:bookmarkStart w:id="404" w:name="_Toc151193715"/>
      <w:r>
        <w:rPr>
          <w:rFonts w:hint="eastAsia" w:ascii="宋体" w:hAnsi="宋体" w:cs="宋体"/>
          <w:b/>
          <w:sz w:val="28"/>
          <w:szCs w:val="28"/>
          <w:highlight w:val="none"/>
        </w:rPr>
        <w:t xml:space="preserve">六</w:t>
      </w:r>
      <w:bookmarkEnd w:id="383"/>
      <w:r>
        <w:rPr>
          <w:rFonts w:hint="eastAsia" w:ascii="宋体" w:hAnsi="宋体" w:cs="宋体"/>
          <w:b/>
          <w:sz w:val="28"/>
          <w:szCs w:val="28"/>
          <w:highlight w:val="none"/>
        </w:rPr>
        <w:t xml:space="preserve">、确定</w:t>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rFonts w:hint="eastAsia" w:ascii="宋体" w:hAnsi="宋体" w:cs="宋体"/>
          <w:b/>
          <w:sz w:val="28"/>
          <w:szCs w:val="28"/>
          <w:highlight w:val="none"/>
        </w:rPr>
        <w:t xml:space="preserve">中标</w:t>
      </w:r>
      <w:r/>
    </w:p>
    <w:p>
      <w:pPr>
        <w:pStyle w:val="1038"/>
        <w:numPr>
          <w:ilvl w:val="0"/>
          <w:numId w:val="5"/>
        </w:numPr>
        <w:jc w:val="left"/>
        <w:spacing w:line="360" w:lineRule="auto"/>
        <w:rPr>
          <w:rFonts w:ascii="宋体" w:hAnsi="宋体" w:cs="宋体"/>
          <w:sz w:val="24"/>
          <w:highlight w:val="none"/>
        </w:rPr>
      </w:pPr>
      <w:r/>
      <w:bookmarkStart w:id="405" w:name="_Toc164229242"/>
      <w:r/>
      <w:bookmarkStart w:id="406" w:name="_Toc164351641"/>
      <w:r/>
      <w:bookmarkStart w:id="407" w:name="_Toc150480785"/>
      <w:r/>
      <w:bookmarkStart w:id="408" w:name="_Toc195842912"/>
      <w:r/>
      <w:bookmarkStart w:id="409" w:name="_Toc226965820"/>
      <w:r/>
      <w:bookmarkStart w:id="410" w:name="_Toc305158815"/>
      <w:r/>
      <w:bookmarkStart w:id="411" w:name="_Toc226965737"/>
      <w:r/>
      <w:bookmarkStart w:id="412" w:name="_Toc150509298"/>
      <w:r/>
      <w:bookmarkStart w:id="413" w:name="_Toc151193645"/>
      <w:r/>
      <w:bookmarkStart w:id="414" w:name="_Toc305158889"/>
      <w:r/>
      <w:bookmarkStart w:id="415" w:name="_Toc151193935"/>
      <w:r/>
      <w:bookmarkStart w:id="416" w:name="_Toc151190174"/>
      <w:r/>
      <w:bookmarkStart w:id="417" w:name="_Toc142311049"/>
      <w:r/>
      <w:bookmarkStart w:id="418" w:name="_Toc127151748"/>
      <w:r/>
      <w:bookmarkStart w:id="419" w:name="_Toc265228385"/>
      <w:r/>
      <w:bookmarkStart w:id="420" w:name="_Toc164608816"/>
      <w:r/>
      <w:bookmarkStart w:id="421" w:name="_Toc151193717"/>
      <w:r/>
      <w:bookmarkStart w:id="422" w:name="_Toc164229388"/>
      <w:r/>
      <w:bookmarkStart w:id="423" w:name="_Toc264969237"/>
      <w:r/>
      <w:bookmarkStart w:id="424" w:name="_Toc127151547"/>
      <w:r/>
      <w:bookmarkStart w:id="425" w:name="_Toc151193861"/>
      <w:r/>
      <w:bookmarkStart w:id="426" w:name="_Toc164608661"/>
      <w:r/>
      <w:bookmarkStart w:id="427" w:name="_Toc150774752"/>
      <w:r/>
      <w:bookmarkStart w:id="428" w:name="_Toc226337243"/>
      <w:r/>
      <w:bookmarkStart w:id="429" w:name="_Toc150774647"/>
      <w:r/>
      <w:bookmarkStart w:id="430" w:name="_Toc226309791"/>
      <w:r/>
      <w:bookmarkStart w:id="431" w:name="_Toc151193789"/>
      <w:r/>
      <w:bookmarkStart w:id="432" w:name="_Toc149720840"/>
      <w:r/>
      <w:bookmarkStart w:id="433" w:name="_Toc127161461"/>
      <w:r>
        <w:rPr>
          <w:rFonts w:hint="eastAsia" w:ascii="宋体" w:hAnsi="宋体" w:cs="宋体"/>
          <w:sz w:val="24"/>
          <w:highlight w:val="none"/>
        </w:rPr>
        <w:t xml:space="preserve">确定</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Pr>
          <w:rFonts w:hint="eastAsia" w:ascii="宋体" w:hAnsi="宋体" w:cs="宋体"/>
          <w:sz w:val="24"/>
          <w:highlight w:val="none"/>
        </w:rPr>
        <w:t xml:space="preserve">中标人</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采购人将在评标报告确定的中标候选人名单中按顺序确定中标人，中标候选人并列的，由采购人依法确定。</w:t>
      </w:r>
      <w:r/>
    </w:p>
    <w:p>
      <w:pPr>
        <w:pStyle w:val="1038"/>
        <w:numPr>
          <w:ilvl w:val="0"/>
          <w:numId w:val="5"/>
        </w:numPr>
        <w:jc w:val="left"/>
        <w:spacing w:line="360" w:lineRule="auto"/>
        <w:rPr>
          <w:rFonts w:ascii="宋体" w:hAnsi="宋体" w:cs="宋体"/>
          <w:sz w:val="24"/>
          <w:highlight w:val="none"/>
        </w:rPr>
      </w:pPr>
      <w:r/>
      <w:bookmarkStart w:id="434" w:name="_Toc305158817"/>
      <w:r/>
      <w:bookmarkStart w:id="435" w:name="_Toc305158891"/>
      <w:r>
        <w:rPr>
          <w:rFonts w:hint="eastAsia" w:ascii="宋体" w:hAnsi="宋体" w:cs="宋体"/>
          <w:sz w:val="24"/>
          <w:highlight w:val="none"/>
        </w:rPr>
        <w:t xml:space="preserve">中标公告与中标通知书</w:t>
      </w:r>
      <w:bookmarkEnd w:id="434"/>
      <w:r/>
      <w:bookmarkEnd w:id="435"/>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采购人或采购代理机构自中标人确定之日起2个工作日内，</w:t>
      </w:r>
      <w:r>
        <w:rPr>
          <w:rFonts w:hint="eastAsia" w:ascii="宋体" w:hAnsi="宋体" w:cs="宋体"/>
          <w:sz w:val="24"/>
          <w:highlight w:val="none"/>
        </w:rPr>
        <w:t xml:space="preserve">在常州市政府采购网、</w:t>
      </w:r>
      <w:r>
        <w:rPr>
          <w:rFonts w:hint="eastAsia" w:ascii="宋体" w:hAnsi="宋体" w:cs="宋体"/>
          <w:sz w:val="24"/>
          <w:szCs w:val="24"/>
          <w:highlight w:val="none"/>
        </w:rPr>
        <w:t xml:space="preserve">常州金诚招投标有限公司网</w:t>
      </w:r>
      <w:r>
        <w:rPr>
          <w:rFonts w:hint="eastAsia" w:ascii="宋体" w:hAnsi="宋体" w:cs="宋体"/>
          <w:sz w:val="24"/>
          <w:highlight w:val="none"/>
        </w:rPr>
        <w:t xml:space="preserve">公告中标结果</w:t>
      </w:r>
      <w:r>
        <w:rPr>
          <w:rFonts w:hint="eastAsia" w:ascii="宋体" w:hAnsi="宋体" w:cs="宋体"/>
          <w:sz w:val="24"/>
          <w:highlight w:val="none"/>
        </w:rPr>
        <w:t xml:space="preserve">，同时向中标人发出中标通知书，中标公告期限为1个工作日。</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中标通知书对采购人和中标供应商均具有法律效力。中标通知书发出后，采购人改变中标结果的，或者中标供应商放弃中标项目的，应当依法承担法律责任。</w:t>
      </w:r>
      <w:r/>
    </w:p>
    <w:p>
      <w:pPr>
        <w:pStyle w:val="1038"/>
        <w:numPr>
          <w:ilvl w:val="0"/>
          <w:numId w:val="5"/>
        </w:numPr>
        <w:jc w:val="left"/>
        <w:spacing w:line="360" w:lineRule="auto"/>
        <w:rPr>
          <w:rFonts w:ascii="宋体" w:hAnsi="宋体" w:cs="宋体"/>
          <w:sz w:val="24"/>
          <w:highlight w:val="none"/>
        </w:rPr>
      </w:pPr>
      <w:r>
        <w:rPr>
          <w:rFonts w:hint="eastAsia" w:ascii="宋体" w:hAnsi="宋体" w:cs="宋体"/>
          <w:sz w:val="24"/>
          <w:highlight w:val="none"/>
        </w:rPr>
        <w:t xml:space="preserve">废标</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在招标采购中，出现下列情形之一的，应予废标：</w:t>
      </w:r>
      <w:r/>
    </w:p>
    <w:p>
      <w:pPr>
        <w:pStyle w:val="1038"/>
        <w:numPr>
          <w:ilvl w:val="2"/>
          <w:numId w:val="5"/>
        </w:numPr>
        <w:jc w:val="left"/>
        <w:spacing w:line="360" w:lineRule="auto"/>
        <w:rPr>
          <w:rFonts w:ascii="宋体" w:hAnsi="宋体" w:cs="宋体"/>
          <w:sz w:val="24"/>
          <w:highlight w:val="none"/>
        </w:rPr>
      </w:pPr>
      <w:r>
        <w:rPr>
          <w:rFonts w:hint="eastAsia" w:ascii="宋体" w:hAnsi="宋体" w:cs="宋体"/>
          <w:sz w:val="24"/>
          <w:highlight w:val="none"/>
        </w:rPr>
        <w:t xml:space="preserve">符合专业条件的投标人或者对招标文件作实质响应的投标人不足三家的；</w:t>
      </w:r>
      <w:r/>
    </w:p>
    <w:p>
      <w:pPr>
        <w:pStyle w:val="1038"/>
        <w:numPr>
          <w:ilvl w:val="2"/>
          <w:numId w:val="5"/>
        </w:numPr>
        <w:jc w:val="left"/>
        <w:spacing w:line="360" w:lineRule="auto"/>
        <w:rPr>
          <w:rFonts w:ascii="宋体" w:hAnsi="宋体" w:cs="宋体"/>
          <w:sz w:val="24"/>
          <w:highlight w:val="none"/>
        </w:rPr>
      </w:pPr>
      <w:r>
        <w:rPr>
          <w:rFonts w:hint="eastAsia" w:ascii="宋体" w:hAnsi="宋体" w:cs="宋体"/>
          <w:sz w:val="24"/>
          <w:highlight w:val="none"/>
        </w:rPr>
        <w:t xml:space="preserve">出现影响采购公正的违法、违规行为的；</w:t>
      </w:r>
      <w:r/>
    </w:p>
    <w:p>
      <w:pPr>
        <w:pStyle w:val="1038"/>
        <w:numPr>
          <w:ilvl w:val="2"/>
          <w:numId w:val="5"/>
        </w:numPr>
        <w:jc w:val="left"/>
        <w:spacing w:line="360" w:lineRule="auto"/>
        <w:rPr>
          <w:rFonts w:ascii="宋体" w:hAnsi="宋体" w:cs="宋体"/>
          <w:sz w:val="24"/>
          <w:highlight w:val="none"/>
        </w:rPr>
      </w:pPr>
      <w:r>
        <w:rPr>
          <w:rFonts w:hint="eastAsia" w:ascii="宋体" w:hAnsi="宋体" w:cs="宋体"/>
          <w:sz w:val="24"/>
          <w:highlight w:val="none"/>
        </w:rPr>
        <w:t xml:space="preserve">投标人的报价均超过了采购预算，采购人不能支付的</w:t>
      </w:r>
      <w:r>
        <w:rPr>
          <w:rFonts w:hint="eastAsia" w:ascii="宋体" w:hAnsi="宋体" w:cs="宋体"/>
          <w:sz w:val="24"/>
          <w:szCs w:val="20"/>
          <w:highlight w:val="none"/>
        </w:rPr>
        <w:t xml:space="preserve">；</w:t>
      </w:r>
      <w:r/>
    </w:p>
    <w:p>
      <w:pPr>
        <w:pStyle w:val="1038"/>
        <w:numPr>
          <w:ilvl w:val="2"/>
          <w:numId w:val="5"/>
        </w:numPr>
        <w:jc w:val="left"/>
        <w:spacing w:line="360" w:lineRule="auto"/>
        <w:rPr>
          <w:rFonts w:ascii="宋体" w:hAnsi="宋体" w:cs="宋体"/>
          <w:sz w:val="24"/>
          <w:highlight w:val="none"/>
        </w:rPr>
      </w:pPr>
      <w:r>
        <w:rPr>
          <w:rFonts w:hint="eastAsia" w:ascii="宋体" w:hAnsi="宋体" w:cs="宋体"/>
          <w:sz w:val="24"/>
          <w:highlight w:val="none"/>
        </w:rPr>
        <w:t xml:space="preserve">因重大变故，采购任务取消的；</w:t>
      </w:r>
      <w:r/>
    </w:p>
    <w:p>
      <w:pPr>
        <w:pStyle w:val="1038"/>
        <w:numPr>
          <w:ilvl w:val="2"/>
          <w:numId w:val="5"/>
        </w:numPr>
        <w:jc w:val="left"/>
        <w:spacing w:line="360" w:lineRule="auto"/>
        <w:rPr>
          <w:rFonts w:ascii="宋体" w:hAnsi="宋体" w:cs="宋体"/>
          <w:sz w:val="24"/>
          <w:highlight w:val="none"/>
        </w:rPr>
      </w:pPr>
      <w:r>
        <w:rPr>
          <w:rFonts w:hint="eastAsia" w:ascii="宋体" w:hAnsi="宋体" w:cs="宋体"/>
          <w:sz w:val="24"/>
          <w:highlight w:val="none"/>
        </w:rPr>
        <w:t xml:space="preserve">平台系统出现序号18.8的所述情形，情况严重且影响采购活动公平、公正性的。</w:t>
      </w:r>
      <w:r/>
    </w:p>
    <w:p>
      <w:pPr>
        <w:pStyle w:val="1038"/>
        <w:numPr>
          <w:ilvl w:val="0"/>
          <w:numId w:val="5"/>
        </w:numPr>
        <w:jc w:val="left"/>
        <w:spacing w:line="360" w:lineRule="auto"/>
        <w:rPr>
          <w:rFonts w:ascii="宋体" w:hAnsi="宋体" w:cs="宋体"/>
          <w:sz w:val="24"/>
          <w:highlight w:val="none"/>
        </w:rPr>
      </w:pPr>
      <w:r/>
      <w:bookmarkStart w:id="436" w:name="_Toc127151550"/>
      <w:r/>
      <w:bookmarkStart w:id="437" w:name="_Toc305158892"/>
      <w:r/>
      <w:bookmarkStart w:id="438" w:name="_Toc164229245"/>
      <w:r/>
      <w:bookmarkStart w:id="439" w:name="_Toc164608819"/>
      <w:r/>
      <w:bookmarkStart w:id="440" w:name="_Toc151193648"/>
      <w:r/>
      <w:bookmarkStart w:id="441" w:name="_Ref467307062"/>
      <w:r/>
      <w:bookmarkStart w:id="442" w:name="_Toc150480788"/>
      <w:r/>
      <w:bookmarkStart w:id="443" w:name="_Ref467306978"/>
      <w:r/>
      <w:bookmarkStart w:id="444" w:name="_Toc264969240"/>
      <w:r/>
      <w:bookmarkStart w:id="445" w:name="_Toc226309794"/>
      <w:r/>
      <w:bookmarkStart w:id="446" w:name="_Toc151193720"/>
      <w:r/>
      <w:bookmarkStart w:id="447" w:name="_Toc164229391"/>
      <w:r/>
      <w:bookmarkStart w:id="448" w:name="_Ref467306377"/>
      <w:r/>
      <w:bookmarkStart w:id="449" w:name="_Toc226965823"/>
      <w:r/>
      <w:bookmarkStart w:id="450" w:name="_Toc151190177"/>
      <w:r/>
      <w:bookmarkStart w:id="451" w:name="_Toc149720843"/>
      <w:r/>
      <w:bookmarkStart w:id="452" w:name="_Toc226337246"/>
      <w:r/>
      <w:bookmarkStart w:id="453" w:name="_Toc150774755"/>
      <w:r/>
      <w:bookmarkStart w:id="454" w:name="_Toc265228388"/>
      <w:r/>
      <w:bookmarkStart w:id="455" w:name="_Toc151193792"/>
      <w:r/>
      <w:bookmarkStart w:id="456" w:name="_Toc195842915"/>
      <w:r/>
      <w:bookmarkStart w:id="457" w:name="_Toc520356175"/>
      <w:r/>
      <w:bookmarkStart w:id="458" w:name="_Toc142311052"/>
      <w:r/>
      <w:bookmarkStart w:id="459" w:name="_Toc151193864"/>
      <w:r/>
      <w:bookmarkStart w:id="460" w:name="_Ref467307204"/>
      <w:r/>
      <w:bookmarkStart w:id="461" w:name="_Toc150509301"/>
      <w:r/>
      <w:bookmarkStart w:id="462" w:name="_Toc151193938"/>
      <w:r/>
      <w:bookmarkStart w:id="463" w:name="_Toc150774650"/>
      <w:r/>
      <w:bookmarkStart w:id="464" w:name="_Toc226965740"/>
      <w:r/>
      <w:bookmarkStart w:id="465" w:name="_Toc305158818"/>
      <w:r/>
      <w:bookmarkStart w:id="466" w:name="_Toc127161464"/>
      <w:r/>
      <w:bookmarkStart w:id="467" w:name="_Toc164608664"/>
      <w:r/>
      <w:bookmarkStart w:id="468" w:name="_Toc164351644"/>
      <w:r/>
      <w:bookmarkStart w:id="469" w:name="_Toc127151751"/>
      <w:r>
        <w:rPr>
          <w:rFonts w:hint="eastAsia" w:ascii="宋体" w:hAnsi="宋体" w:cs="宋体"/>
          <w:sz w:val="24"/>
          <w:highlight w:val="none"/>
        </w:rPr>
        <w:t xml:space="preserve">签订合同</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中标人拒绝与采购人签订合同的，采购人可以按照评标报告推荐的中标候选人名单排序，确定下一候选人为中标人，也可以重新开展政府采购活动。</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联合体中标的，联合体各方应当共同与采购人签订合同，就中标项目向采购人承担连带责任。</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政府采购合同不能转包。</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highlight w:val="none"/>
        </w:rPr>
        <w:t xml:space="preserve">，</w:t>
      </w:r>
      <w:r>
        <w:rPr>
          <w:rFonts w:hint="eastAsia" w:ascii="宋体" w:hAnsi="宋体" w:cs="宋体"/>
          <w:sz w:val="24"/>
          <w:highlight w:val="none"/>
        </w:rPr>
        <w:t xml:space="preserve">否则</w:t>
      </w:r>
      <w:r>
        <w:rPr>
          <w:rFonts w:hint="eastAsia" w:ascii="宋体" w:hAnsi="宋体" w:cs="宋体"/>
          <w:b/>
          <w:sz w:val="24"/>
          <w:highlight w:val="none"/>
        </w:rPr>
        <w:t xml:space="preserve">投标无效</w:t>
      </w:r>
      <w:r>
        <w:rPr>
          <w:rFonts w:hint="eastAsia" w:ascii="宋体" w:hAnsi="宋体" w:cs="宋体"/>
          <w:sz w:val="24"/>
          <w:highlight w:val="none"/>
        </w:rPr>
        <w:t xml:space="preserve">。中标人就采购项目和分包项目向采购人负责，分包供应商就分包项目承担责任。</w:t>
      </w:r>
      <w:r/>
    </w:p>
    <w:p>
      <w:pPr>
        <w:pStyle w:val="1038"/>
        <w:numPr>
          <w:ilvl w:val="0"/>
          <w:numId w:val="5"/>
        </w:numPr>
        <w:jc w:val="left"/>
        <w:spacing w:line="360" w:lineRule="auto"/>
        <w:rPr>
          <w:rFonts w:ascii="宋体" w:hAnsi="宋体" w:cs="宋体"/>
          <w:sz w:val="24"/>
          <w:highlight w:val="none"/>
        </w:rPr>
      </w:pPr>
      <w:r>
        <w:rPr>
          <w:rFonts w:hint="eastAsia" w:ascii="宋体" w:hAnsi="宋体" w:cs="宋体"/>
          <w:sz w:val="24"/>
          <w:highlight w:val="none"/>
        </w:rPr>
        <w:t xml:space="preserve">询问与质疑</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询问</w:t>
      </w:r>
      <w:r/>
    </w:p>
    <w:p>
      <w:pPr>
        <w:pStyle w:val="1038"/>
        <w:numPr>
          <w:ilvl w:val="2"/>
          <w:numId w:val="5"/>
        </w:numPr>
        <w:jc w:val="left"/>
        <w:spacing w:line="360" w:lineRule="auto"/>
        <w:rPr>
          <w:rFonts w:ascii="宋体" w:hAnsi="宋体" w:cs="宋体"/>
          <w:sz w:val="24"/>
          <w:highlight w:val="none"/>
        </w:rPr>
      </w:pPr>
      <w:r>
        <w:rPr>
          <w:rFonts w:hint="eastAsia" w:ascii="宋体" w:hAnsi="宋体" w:cs="宋体"/>
          <w:sz w:val="24"/>
          <w:highlight w:val="none"/>
        </w:rPr>
        <w:t xml:space="preserve">投标人对政府采购活动事项有疑问的，可依法提出询问，并按《投标人须知资料表》载明的形式送达采购人或采购代理机构。</w:t>
      </w:r>
      <w:r/>
    </w:p>
    <w:p>
      <w:pPr>
        <w:pStyle w:val="1038"/>
        <w:numPr>
          <w:ilvl w:val="2"/>
          <w:numId w:val="5"/>
        </w:numPr>
        <w:jc w:val="left"/>
        <w:spacing w:line="360" w:lineRule="auto"/>
        <w:rPr>
          <w:rFonts w:ascii="宋体" w:hAnsi="宋体" w:cs="宋体"/>
          <w:sz w:val="24"/>
          <w:highlight w:val="none"/>
        </w:rPr>
      </w:pPr>
      <w:r>
        <w:rPr>
          <w:rFonts w:hint="eastAsia" w:ascii="宋体" w:hAnsi="宋体" w:cs="宋体"/>
          <w:sz w:val="24"/>
          <w:highlight w:val="none"/>
        </w:rPr>
        <w:t xml:space="preserve">采购人或采购代理机构对供应商依法提出的询问，在3个工作日内作出答复，但答复的内容不得涉及商业秘密。</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质疑</w:t>
      </w:r>
      <w:r/>
    </w:p>
    <w:p>
      <w:pPr>
        <w:pStyle w:val="1038"/>
        <w:numPr>
          <w:ilvl w:val="2"/>
          <w:numId w:val="5"/>
        </w:numPr>
        <w:jc w:val="left"/>
        <w:spacing w:line="360" w:lineRule="auto"/>
        <w:rPr>
          <w:rFonts w:ascii="宋体" w:hAnsi="宋体" w:cs="宋体"/>
          <w:sz w:val="24"/>
          <w:highlight w:val="none"/>
        </w:rPr>
      </w:pPr>
      <w:r>
        <w:rPr>
          <w:rFonts w:hint="eastAsia" w:ascii="宋体" w:hAnsi="宋体" w:cs="宋体"/>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038"/>
        <w:numPr>
          <w:ilvl w:val="2"/>
          <w:numId w:val="5"/>
        </w:numPr>
        <w:jc w:val="left"/>
        <w:spacing w:line="360" w:lineRule="auto"/>
        <w:rPr>
          <w:rFonts w:ascii="宋体" w:hAnsi="宋体" w:cs="宋体"/>
          <w:sz w:val="24"/>
          <w:highlight w:val="none"/>
        </w:rPr>
      </w:pPr>
      <w:r>
        <w:rPr>
          <w:rFonts w:hint="eastAsia" w:ascii="宋体" w:hAnsi="宋体" w:cs="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采购人委托采购代理机构采购的，采购代理机构在委托授权范围内作出答复。</w:t>
      </w:r>
      <w:r/>
    </w:p>
    <w:p>
      <w:pPr>
        <w:pStyle w:val="1038"/>
        <w:numPr>
          <w:ilvl w:val="2"/>
          <w:numId w:val="5"/>
        </w:numPr>
        <w:jc w:val="left"/>
        <w:spacing w:line="360" w:lineRule="auto"/>
        <w:rPr>
          <w:rFonts w:ascii="宋体" w:hAnsi="宋体" w:cs="宋体"/>
          <w:sz w:val="24"/>
          <w:highlight w:val="none"/>
        </w:rPr>
      </w:pPr>
      <w:r>
        <w:rPr>
          <w:rFonts w:hint="eastAsia" w:ascii="宋体" w:hAnsi="宋体" w:cs="宋体"/>
          <w:sz w:val="24"/>
          <w:highlight w:val="none"/>
        </w:rPr>
        <w:t xml:space="preserve">质疑函须使用财政部制定的范本文件。（下载网址：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Fonts w:hint="eastAsia" w:ascii="宋体" w:hAnsi="宋体" w:cs="宋体"/>
          <w:sz w:val="24"/>
          <w:highlight w:val="none"/>
        </w:rPr>
        <w:t xml:space="preserve">http://gk</w:t>
      </w:r>
      <w:bookmarkStart w:id="470" w:name="_Hlt100654014"/>
      <w:r>
        <w:rPr>
          <w:rFonts w:hint="eastAsia" w:ascii="宋体" w:hAnsi="宋体" w:cs="宋体"/>
          <w:sz w:val="24"/>
          <w:highlight w:val="none"/>
        </w:rPr>
        <w:t xml:space="preserve">s</w:t>
      </w:r>
      <w:bookmarkEnd w:id="470"/>
      <w:r>
        <w:rPr>
          <w:rFonts w:hint="eastAsia" w:ascii="宋体" w:hAnsi="宋体" w:cs="宋体"/>
          <w:sz w:val="24"/>
          <w:highlight w:val="none"/>
        </w:rPr>
        <w:t xml:space="preserve">.m</w:t>
      </w:r>
      <w:bookmarkStart w:id="471" w:name="_Hlt100653994"/>
      <w:r/>
      <w:bookmarkStart w:id="472" w:name="_Hlt100653993"/>
      <w:r>
        <w:rPr>
          <w:rFonts w:hint="eastAsia" w:ascii="宋体" w:hAnsi="宋体" w:cs="宋体"/>
          <w:sz w:val="24"/>
          <w:highlight w:val="none"/>
        </w:rPr>
        <w:t xml:space="preserve">o</w:t>
      </w:r>
      <w:bookmarkEnd w:id="471"/>
      <w:r/>
      <w:bookmarkEnd w:id="472"/>
      <w:r/>
      <w:bookmarkStart w:id="473" w:name="_Hlt101169156"/>
      <w:r>
        <w:rPr>
          <w:rFonts w:hint="eastAsia" w:ascii="宋体" w:hAnsi="宋体" w:cs="宋体"/>
          <w:sz w:val="24"/>
          <w:highlight w:val="none"/>
        </w:rPr>
        <w:t xml:space="preserve">f</w:t>
      </w:r>
      <w:bookmarkEnd w:id="473"/>
      <w:r>
        <w:rPr>
          <w:rFonts w:hint="eastAsia" w:ascii="宋体" w:hAnsi="宋体" w:cs="宋体"/>
          <w:sz w:val="24"/>
          <w:highlight w:val="none"/>
        </w:rPr>
        <w:t xml:space="preserve">.gov.cn/ztztz/zhengfucaigouguanli/201802/t20180201_2804589.htm</w:t>
      </w:r>
      <w:r>
        <w:rPr>
          <w:rFonts w:hint="eastAsia" w:ascii="宋体" w:hAnsi="宋体" w:cs="宋体"/>
          <w:sz w:val="24"/>
          <w:highlight w:val="none"/>
        </w:rPr>
        <w:fldChar w:fldCharType="end"/>
      </w:r>
      <w:r>
        <w:rPr>
          <w:rFonts w:hint="eastAsia" w:ascii="宋体" w:hAnsi="宋体" w:cs="宋体"/>
          <w:sz w:val="24"/>
          <w:highlight w:val="none"/>
        </w:rPr>
        <w:t xml:space="preserve">）。</w:t>
      </w:r>
      <w:r/>
    </w:p>
    <w:p>
      <w:pPr>
        <w:pStyle w:val="1038"/>
        <w:numPr>
          <w:ilvl w:val="2"/>
          <w:numId w:val="5"/>
        </w:numPr>
        <w:jc w:val="left"/>
        <w:spacing w:line="360" w:lineRule="auto"/>
        <w:rPr>
          <w:rFonts w:ascii="宋体" w:hAnsi="宋体" w:cs="宋体"/>
          <w:sz w:val="24"/>
          <w:highlight w:val="none"/>
        </w:rPr>
      </w:pPr>
      <w:r>
        <w:rPr>
          <w:rFonts w:hint="eastAsia" w:ascii="宋体" w:hAnsi="宋体" w:cs="宋体"/>
          <w:sz w:val="24"/>
          <w:highlight w:val="none"/>
        </w:rPr>
        <w:t xml:space="preserve">投标人为自然人的，应当由本人签字；投标人为法人或者其他组织的，应当由法定代表人、主要负责人，或者其授权代表签字或者加盖公章，并加盖公章。</w:t>
      </w:r>
      <w:r/>
    </w:p>
    <w:p>
      <w:pPr>
        <w:pStyle w:val="1038"/>
        <w:numPr>
          <w:ilvl w:val="2"/>
          <w:numId w:val="5"/>
        </w:numPr>
        <w:jc w:val="left"/>
        <w:spacing w:line="360" w:lineRule="auto"/>
        <w:rPr>
          <w:rFonts w:ascii="宋体" w:hAnsi="宋体" w:cs="宋体"/>
          <w:sz w:val="24"/>
          <w:highlight w:val="none"/>
        </w:rPr>
      </w:pPr>
      <w:r>
        <w:rPr>
          <w:rFonts w:hint="eastAsia" w:ascii="宋体" w:hAnsi="宋体" w:cs="宋体"/>
          <w:sz w:val="24"/>
          <w:highlight w:val="none"/>
        </w:rPr>
        <w:t xml:space="preserve">投标人应在法定质疑期内一次性提出针对同一采购程序环节的质疑，法定质疑期内针对同一采购程序环节再次提出的质疑，采购人、采购代理机构有权不予答复。</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接收询问和质疑的联系部门、联系电话和通讯地址见《投标人须知资料表》。</w:t>
      </w:r>
      <w:r/>
    </w:p>
    <w:p>
      <w:pPr>
        <w:pStyle w:val="1038"/>
        <w:numPr>
          <w:ilvl w:val="0"/>
          <w:numId w:val="5"/>
        </w:numPr>
        <w:jc w:val="left"/>
        <w:spacing w:line="360" w:lineRule="auto"/>
        <w:rPr>
          <w:rFonts w:ascii="宋体" w:hAnsi="宋体" w:cs="宋体"/>
          <w:sz w:val="24"/>
          <w:highlight w:val="none"/>
        </w:rPr>
      </w:pPr>
      <w:r>
        <w:rPr>
          <w:rFonts w:hint="eastAsia" w:ascii="宋体" w:hAnsi="宋体" w:cs="宋体"/>
          <w:sz w:val="24"/>
          <w:highlight w:val="none"/>
        </w:rPr>
        <w:t xml:space="preserve">代理费</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收费对象、收费标准及缴纳时间见《投标人须知资料表》。由中标人支付的，中标人须一次性向采购代理机构缴纳代理费，投标报价应包含代理费用。</w:t>
      </w:r>
      <w:r/>
    </w:p>
    <w:p>
      <w:pPr>
        <w:pStyle w:val="1038"/>
        <w:numPr>
          <w:ilvl w:val="0"/>
          <w:numId w:val="5"/>
        </w:numPr>
        <w:jc w:val="left"/>
        <w:spacing w:line="360" w:lineRule="auto"/>
        <w:rPr>
          <w:rFonts w:ascii="宋体" w:hAnsi="宋体" w:cs="宋体"/>
          <w:sz w:val="24"/>
          <w:highlight w:val="none"/>
        </w:rPr>
      </w:pPr>
      <w:r>
        <w:rPr>
          <w:rFonts w:hint="eastAsia" w:ascii="宋体" w:hAnsi="宋体" w:cs="宋体"/>
          <w:sz w:val="24"/>
          <w:highlight w:val="none"/>
        </w:rPr>
        <w:t xml:space="preserve">履约保证金</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本项目免收履约保证金。</w:t>
      </w:r>
      <w:r/>
    </w:p>
    <w:p>
      <w:pPr>
        <w:pStyle w:val="1038"/>
        <w:numPr>
          <w:ilvl w:val="0"/>
          <w:numId w:val="5"/>
        </w:numPr>
        <w:jc w:val="left"/>
        <w:spacing w:line="360" w:lineRule="auto"/>
        <w:rPr>
          <w:rFonts w:ascii="宋体" w:hAnsi="宋体" w:cs="宋体"/>
          <w:sz w:val="24"/>
          <w:highlight w:val="none"/>
        </w:rPr>
      </w:pPr>
      <w:r>
        <w:rPr>
          <w:rFonts w:hint="eastAsia" w:ascii="宋体" w:hAnsi="宋体" w:cs="宋体"/>
          <w:sz w:val="24"/>
          <w:highlight w:val="none"/>
        </w:rPr>
        <w:t xml:space="preserve">纸质投标文件</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中标人在签订合同前向代理机构提供</w:t>
      </w:r>
      <w:r>
        <w:rPr>
          <w:rFonts w:hint="eastAsia" w:ascii="宋体" w:hAnsi="宋体" w:cs="宋体"/>
          <w:b/>
          <w:bCs/>
          <w:sz w:val="24"/>
          <w:highlight w:val="none"/>
        </w:rPr>
        <w:t xml:space="preserve">正本1套纸质投标文件</w:t>
      </w:r>
      <w:r>
        <w:rPr>
          <w:rFonts w:hint="eastAsia" w:ascii="宋体" w:hAnsi="宋体" w:cs="宋体"/>
          <w:sz w:val="24"/>
          <w:highlight w:val="none"/>
        </w:rPr>
        <w:t xml:space="preserve">。</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纸质投标文件需与政府采购系统的投标文件一致，中标人应按照要求签字、盖章。</w:t>
      </w:r>
      <w:r/>
    </w:p>
    <w:p>
      <w:pPr>
        <w:pStyle w:val="1038"/>
        <w:numPr>
          <w:ilvl w:val="1"/>
          <w:numId w:val="5"/>
        </w:numPr>
        <w:jc w:val="left"/>
        <w:spacing w:line="360" w:lineRule="auto"/>
        <w:rPr>
          <w:rFonts w:ascii="宋体" w:hAnsi="宋体" w:cs="宋体"/>
          <w:sz w:val="24"/>
          <w:highlight w:val="none"/>
        </w:rPr>
      </w:pPr>
      <w:r>
        <w:rPr>
          <w:rFonts w:hint="eastAsia" w:ascii="宋体" w:hAnsi="宋体" w:cs="宋体"/>
          <w:sz w:val="24"/>
          <w:highlight w:val="none"/>
        </w:rPr>
        <w:t xml:space="preserve">招标文件所表述（指定）的公章是指法定名称章，不包括合同专用章、业务专用章等印章；盖章是指加盖鲜章。</w:t>
      </w:r>
      <w:r/>
    </w:p>
    <w:p>
      <w:pPr>
        <w:ind w:left="228" w:hanging="228"/>
        <w:jc w:val="left"/>
        <w:spacing w:line="360" w:lineRule="auto"/>
        <w:rPr>
          <w:rFonts w:ascii="宋体" w:hAnsi="宋体" w:cs="宋体"/>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sz w:val="24"/>
          <w:highlight w:val="none"/>
        </w:rPr>
      </w:r>
      <w:r/>
    </w:p>
    <w:p>
      <w:pPr>
        <w:pStyle w:val="989"/>
        <w:ind w:left="343" w:hanging="343"/>
        <w:rPr>
          <w:rFonts w:ascii="宋体" w:hAnsi="宋体" w:cs="宋体"/>
          <w:highlight w:val="none"/>
        </w:rPr>
      </w:pPr>
      <w:r/>
      <w:bookmarkStart w:id="474" w:name="_Toc18028"/>
      <w:r/>
      <w:bookmarkStart w:id="475" w:name="_Toc30622"/>
      <w:r/>
      <w:bookmarkStart w:id="476" w:name="_Toc6562"/>
      <w:r/>
      <w:bookmarkStart w:id="477" w:name="_Toc104818927"/>
      <w:r>
        <w:rPr>
          <w:rFonts w:hint="eastAsia" w:ascii="宋体" w:hAnsi="宋体" w:cs="宋体"/>
          <w:highlight w:val="none"/>
        </w:rPr>
        <w:t xml:space="preserve">第三章 资格审查</w:t>
      </w:r>
      <w:bookmarkEnd w:id="474"/>
      <w:r/>
      <w:bookmarkEnd w:id="475"/>
      <w:r/>
      <w:bookmarkEnd w:id="476"/>
      <w:r/>
      <w:r/>
    </w:p>
    <w:p>
      <w:pPr>
        <w:ind w:left="229" w:hanging="229"/>
        <w:jc w:val="center"/>
        <w:spacing w:line="360" w:lineRule="auto"/>
        <w:rPr>
          <w:rFonts w:ascii="宋体" w:hAnsi="宋体" w:cs="宋体"/>
          <w:b/>
          <w:sz w:val="24"/>
          <w:szCs w:val="24"/>
          <w:highlight w:val="none"/>
        </w:rPr>
      </w:pPr>
      <w:r/>
      <w:bookmarkStart w:id="478" w:name="_Toc99301422"/>
      <w:r>
        <w:rPr>
          <w:rFonts w:hint="eastAsia" w:ascii="宋体" w:hAnsi="宋体" w:cs="宋体"/>
          <w:b/>
          <w:sz w:val="24"/>
          <w:szCs w:val="24"/>
          <w:highlight w:val="none"/>
        </w:rPr>
        <w:t xml:space="preserve">一、资格审查程序</w:t>
      </w:r>
      <w:bookmarkEnd w:id="478"/>
      <w:r/>
      <w:r/>
    </w:p>
    <w:p>
      <w:pPr>
        <w:pStyle w:val="1038"/>
        <w:numPr>
          <w:ilvl w:val="0"/>
          <w:numId w:val="6"/>
        </w:numPr>
        <w:spacing w:line="360" w:lineRule="auto"/>
        <w:rPr>
          <w:rFonts w:ascii="宋体" w:hAnsi="宋体" w:cs="宋体"/>
          <w:sz w:val="24"/>
          <w:szCs w:val="24"/>
          <w:highlight w:val="none"/>
        </w:rPr>
      </w:pPr>
      <w:r>
        <w:rPr>
          <w:rFonts w:hint="eastAsia" w:ascii="宋体" w:hAnsi="宋体" w:cs="宋体"/>
          <w:sz w:val="24"/>
          <w:highlight w:val="none"/>
        </w:rPr>
        <w:t xml:space="preserve">开标结束后，采购人将根据《资格审查要求》中的规定，对投标人进行资格审查，并形成资格审查结果</w:t>
      </w:r>
      <w:r>
        <w:rPr>
          <w:rFonts w:hint="eastAsia" w:ascii="宋体" w:hAnsi="宋体" w:cs="宋体"/>
          <w:sz w:val="24"/>
          <w:szCs w:val="24"/>
          <w:highlight w:val="none"/>
        </w:rPr>
        <w:t xml:space="preserve">。</w:t>
      </w:r>
      <w:r/>
    </w:p>
    <w:p>
      <w:pPr>
        <w:pStyle w:val="1038"/>
        <w:numPr>
          <w:ilvl w:val="0"/>
          <w:numId w:val="6"/>
        </w:numPr>
        <w:spacing w:line="360" w:lineRule="auto"/>
        <w:rPr>
          <w:rFonts w:ascii="宋体" w:hAnsi="宋体" w:cs="宋体"/>
          <w:sz w:val="24"/>
          <w:szCs w:val="24"/>
          <w:highlight w:val="none"/>
        </w:rPr>
      </w:pPr>
      <w:r>
        <w:rPr>
          <w:rFonts w:hint="eastAsia" w:ascii="宋体" w:hAnsi="宋体" w:cs="宋体"/>
          <w:sz w:val="24"/>
          <w:highlight w:val="none"/>
        </w:rPr>
        <w:t xml:space="preserve">《资格审查要求》中对格式有要求的，除招标文件另有规定外，均为“实质性格式”文件</w:t>
      </w:r>
      <w:r>
        <w:rPr>
          <w:rFonts w:hint="eastAsia" w:ascii="宋体" w:hAnsi="宋体" w:cs="宋体"/>
          <w:sz w:val="24"/>
          <w:szCs w:val="24"/>
          <w:highlight w:val="none"/>
        </w:rPr>
        <w:t xml:space="preserve">。</w:t>
      </w:r>
      <w:r/>
    </w:p>
    <w:p>
      <w:pPr>
        <w:pStyle w:val="1038"/>
        <w:numPr>
          <w:ilvl w:val="0"/>
          <w:numId w:val="6"/>
        </w:numPr>
        <w:spacing w:line="360" w:lineRule="auto"/>
        <w:rPr>
          <w:rFonts w:ascii="宋体" w:hAnsi="宋体" w:cs="宋体"/>
          <w:sz w:val="24"/>
          <w:szCs w:val="24"/>
          <w:highlight w:val="none"/>
        </w:rPr>
      </w:pPr>
      <w:r>
        <w:rPr>
          <w:rFonts w:hint="eastAsia" w:ascii="宋体" w:hAnsi="宋体" w:cs="宋体"/>
          <w:sz w:val="24"/>
          <w:szCs w:val="24"/>
          <w:highlight w:val="none"/>
        </w:rPr>
        <w:t xml:space="preserve">投标人《资格证明文件》有任何一项不符合《资格审查要求》的，资格审查不合格，其投标无效。</w:t>
      </w:r>
      <w:r/>
    </w:p>
    <w:p>
      <w:pPr>
        <w:pStyle w:val="1038"/>
        <w:numPr>
          <w:ilvl w:val="0"/>
          <w:numId w:val="6"/>
        </w:numPr>
        <w:spacing w:line="360" w:lineRule="auto"/>
        <w:rPr>
          <w:rFonts w:ascii="宋体" w:hAnsi="宋体" w:cs="宋体"/>
          <w:sz w:val="24"/>
          <w:szCs w:val="24"/>
          <w:highlight w:val="none"/>
        </w:rPr>
      </w:pPr>
      <w:r>
        <w:rPr>
          <w:rFonts w:hint="eastAsia" w:ascii="宋体" w:hAnsi="宋体" w:cs="宋体"/>
          <w:sz w:val="24"/>
          <w:szCs w:val="24"/>
          <w:highlight w:val="none"/>
        </w:rPr>
        <w:t xml:space="preserve">资格审查合格的投标人不足3家的，不进行评标。</w:t>
      </w:r>
      <w:r/>
    </w:p>
    <w:p>
      <w:pPr>
        <w:ind w:left="229" w:hanging="229"/>
        <w:jc w:val="center"/>
        <w:spacing w:line="360" w:lineRule="auto"/>
        <w:rPr>
          <w:rFonts w:ascii="宋体" w:hAnsi="宋体" w:cs="宋体"/>
          <w:b/>
          <w:sz w:val="24"/>
          <w:szCs w:val="24"/>
          <w:highlight w:val="none"/>
        </w:rPr>
      </w:pPr>
      <w:r>
        <w:rPr>
          <w:rFonts w:hint="eastAsia" w:ascii="宋体" w:hAnsi="宋体" w:cs="宋体"/>
          <w:b/>
          <w:sz w:val="24"/>
          <w:szCs w:val="24"/>
          <w:highlight w:val="none"/>
        </w:rPr>
        <w:t xml:space="preserve">二、资格审查要求</w:t>
      </w:r>
      <w:r/>
    </w:p>
    <w:tbl>
      <w:tblPr>
        <w:tblStyle w:val="99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2028"/>
        <w:gridCol w:w="3971"/>
        <w:gridCol w:w="1748"/>
      </w:tblGrid>
      <w:tr>
        <w:trPr>
          <w:jc w:val="center"/>
          <w:trHeight w:val="468"/>
        </w:trPr>
        <w:tc>
          <w:tcPr>
            <w:tcW w:w="454" w:type="pct"/>
            <w:vAlign w:val="center"/>
            <w:textDirection w:val="lrTb"/>
            <w:noWrap w:val="false"/>
          </w:tcPr>
          <w:p>
            <w:pPr>
              <w:ind w:left="199" w:hanging="199"/>
              <w:jc w:val="center"/>
              <w:rPr>
                <w:rFonts w:ascii="宋体" w:hAnsi="宋体" w:cs="宋体"/>
                <w:sz w:val="21"/>
                <w:szCs w:val="21"/>
                <w:highlight w:val="none"/>
              </w:rPr>
            </w:pPr>
            <w:r>
              <w:rPr>
                <w:rFonts w:hint="eastAsia" w:ascii="宋体" w:hAnsi="宋体" w:cs="宋体"/>
                <w:sz w:val="21"/>
                <w:szCs w:val="21"/>
                <w:highlight w:val="none"/>
              </w:rPr>
              <w:t xml:space="preserve">序号</w:t>
            </w:r>
            <w:r/>
          </w:p>
        </w:tc>
        <w:tc>
          <w:tcPr>
            <w:tcW w:w="1189" w:type="pct"/>
            <w:vAlign w:val="center"/>
            <w:textDirection w:val="lrTb"/>
            <w:noWrap w:val="false"/>
          </w:tcPr>
          <w:p>
            <w:pPr>
              <w:ind w:left="199" w:hanging="199"/>
              <w:jc w:val="center"/>
              <w:rPr>
                <w:rFonts w:ascii="宋体" w:hAnsi="宋体" w:cs="宋体"/>
                <w:sz w:val="21"/>
                <w:szCs w:val="21"/>
                <w:highlight w:val="none"/>
              </w:rPr>
            </w:pPr>
            <w:r>
              <w:rPr>
                <w:rFonts w:hint="eastAsia" w:ascii="宋体" w:hAnsi="宋体" w:cs="宋体"/>
                <w:sz w:val="21"/>
                <w:szCs w:val="21"/>
                <w:highlight w:val="none"/>
              </w:rPr>
              <w:t xml:space="preserve">审查因素</w:t>
            </w:r>
            <w:r/>
          </w:p>
        </w:tc>
        <w:tc>
          <w:tcPr>
            <w:tcW w:w="2329" w:type="pct"/>
            <w:vAlign w:val="center"/>
            <w:textDirection w:val="lrTb"/>
            <w:noWrap w:val="false"/>
          </w:tcPr>
          <w:p>
            <w:pPr>
              <w:ind w:left="199" w:hanging="199"/>
              <w:jc w:val="center"/>
              <w:rPr>
                <w:rFonts w:ascii="宋体" w:hAnsi="宋体" w:cs="宋体"/>
                <w:sz w:val="21"/>
                <w:szCs w:val="21"/>
                <w:highlight w:val="none"/>
              </w:rPr>
            </w:pPr>
            <w:r>
              <w:rPr>
                <w:rFonts w:hint="eastAsia" w:ascii="宋体" w:hAnsi="宋体" w:cs="宋体"/>
                <w:sz w:val="21"/>
                <w:szCs w:val="21"/>
                <w:highlight w:val="none"/>
              </w:rPr>
              <w:t xml:space="preserve">审查内容</w:t>
            </w:r>
            <w:r/>
          </w:p>
        </w:tc>
        <w:tc>
          <w:tcPr>
            <w:tcW w:w="1025" w:type="pct"/>
            <w:vAlign w:val="center"/>
            <w:textDirection w:val="lrTb"/>
            <w:noWrap w:val="false"/>
          </w:tcPr>
          <w:p>
            <w:pPr>
              <w:ind w:left="199" w:hanging="199"/>
              <w:jc w:val="center"/>
              <w:rPr>
                <w:rFonts w:ascii="宋体" w:hAnsi="宋体" w:cs="宋体"/>
                <w:sz w:val="21"/>
                <w:szCs w:val="21"/>
                <w:highlight w:val="none"/>
              </w:rPr>
            </w:pPr>
            <w:r>
              <w:rPr>
                <w:rFonts w:hint="eastAsia" w:ascii="宋体" w:hAnsi="宋体" w:cs="宋体"/>
                <w:sz w:val="21"/>
                <w:szCs w:val="21"/>
                <w:highlight w:val="none"/>
              </w:rPr>
              <w:t xml:space="preserve">格式要求</w:t>
            </w:r>
            <w:r/>
          </w:p>
        </w:tc>
      </w:tr>
      <w:tr>
        <w:trPr>
          <w:jc w:val="center"/>
          <w:trHeight w:val="468"/>
        </w:trPr>
        <w:tc>
          <w:tcPr>
            <w:tcW w:w="454" w:type="pct"/>
            <w:vAlign w:val="center"/>
            <w:textDirection w:val="lrTb"/>
            <w:noWrap w:val="false"/>
          </w:tcPr>
          <w:p>
            <w:pPr>
              <w:ind w:left="199" w:hanging="199"/>
              <w:jc w:val="center"/>
              <w:rPr>
                <w:rFonts w:ascii="宋体" w:hAnsi="宋体" w:cs="宋体"/>
                <w:sz w:val="21"/>
                <w:szCs w:val="21"/>
                <w:highlight w:val="none"/>
              </w:rPr>
            </w:pPr>
            <w:r>
              <w:rPr>
                <w:rFonts w:hint="eastAsia" w:ascii="宋体" w:hAnsi="宋体" w:cs="宋体"/>
                <w:sz w:val="21"/>
                <w:szCs w:val="21"/>
                <w:highlight w:val="none"/>
              </w:rPr>
              <w:t xml:space="preserve">1</w:t>
            </w:r>
            <w:r/>
          </w:p>
        </w:tc>
        <w:tc>
          <w:tcPr>
            <w:tcW w:w="1189" w:type="pct"/>
            <w:vAlign w:val="center"/>
            <w:textDirection w:val="lrTb"/>
            <w:noWrap w:val="false"/>
          </w:tcPr>
          <w:p>
            <w:pPr>
              <w:ind w:left="199" w:hanging="199"/>
              <w:rPr>
                <w:rFonts w:ascii="宋体" w:hAnsi="宋体" w:cs="宋体"/>
                <w:sz w:val="21"/>
                <w:szCs w:val="21"/>
                <w:highlight w:val="none"/>
              </w:rPr>
            </w:pPr>
            <w:r>
              <w:rPr>
                <w:rFonts w:hint="eastAsia" w:ascii="宋体" w:hAnsi="宋体" w:cs="宋体"/>
                <w:sz w:val="21"/>
                <w:szCs w:val="21"/>
                <w:highlight w:val="none"/>
              </w:rPr>
              <w:t xml:space="preserve">满足《中华人民共和国政府采购法》第二十二条规定及法律法规的其他规定</w:t>
            </w:r>
            <w:r/>
          </w:p>
        </w:tc>
        <w:tc>
          <w:tcPr>
            <w:tcW w:w="2329" w:type="pct"/>
            <w:vAlign w:val="center"/>
            <w:textDirection w:val="lrTb"/>
            <w:noWrap w:val="false"/>
          </w:tcPr>
          <w:p>
            <w:pPr>
              <w:ind w:left="199" w:hanging="199"/>
              <w:rPr>
                <w:rFonts w:ascii="宋体" w:hAnsi="宋体" w:cs="宋体"/>
                <w:sz w:val="21"/>
                <w:szCs w:val="21"/>
                <w:highlight w:val="none"/>
              </w:rPr>
            </w:pPr>
            <w:r>
              <w:rPr>
                <w:rFonts w:hint="eastAsia" w:ascii="宋体" w:hAnsi="宋体" w:cs="宋体"/>
                <w:sz w:val="21"/>
                <w:szCs w:val="21"/>
                <w:highlight w:val="none"/>
              </w:rPr>
              <w:t xml:space="preserve">具体规定见第一章《投标邀请》</w:t>
            </w:r>
            <w:r/>
          </w:p>
        </w:tc>
        <w:tc>
          <w:tcPr>
            <w:tcW w:w="1025" w:type="pct"/>
            <w:vAlign w:val="center"/>
            <w:textDirection w:val="lrTb"/>
            <w:noWrap w:val="false"/>
          </w:tcPr>
          <w:p>
            <w:pPr>
              <w:ind w:left="199" w:hanging="199"/>
              <w:rPr>
                <w:rFonts w:ascii="宋体" w:hAnsi="宋体" w:cs="宋体"/>
                <w:sz w:val="21"/>
                <w:szCs w:val="21"/>
                <w:highlight w:val="none"/>
              </w:rPr>
            </w:pPr>
            <w:r>
              <w:rPr>
                <w:rFonts w:ascii="宋体" w:hAnsi="宋体" w:cs="宋体"/>
                <w:sz w:val="21"/>
                <w:szCs w:val="21"/>
                <w:highlight w:val="none"/>
              </w:rPr>
            </w:r>
            <w:r/>
          </w:p>
        </w:tc>
      </w:tr>
      <w:tr>
        <w:trPr>
          <w:jc w:val="center"/>
          <w:trHeight w:val="468"/>
        </w:trPr>
        <w:tc>
          <w:tcPr>
            <w:tcW w:w="454" w:type="pct"/>
            <w:vAlign w:val="center"/>
            <w:textDirection w:val="lrTb"/>
            <w:noWrap w:val="false"/>
          </w:tcPr>
          <w:p>
            <w:pPr>
              <w:ind w:left="199" w:hanging="199"/>
              <w:jc w:val="center"/>
              <w:rPr>
                <w:rFonts w:ascii="宋体" w:hAnsi="宋体" w:cs="宋体"/>
                <w:sz w:val="21"/>
                <w:szCs w:val="21"/>
                <w:highlight w:val="none"/>
              </w:rPr>
            </w:pPr>
            <w:r>
              <w:rPr>
                <w:rFonts w:hint="eastAsia" w:ascii="宋体" w:hAnsi="宋体" w:cs="宋体"/>
                <w:sz w:val="21"/>
                <w:szCs w:val="21"/>
                <w:highlight w:val="none"/>
              </w:rPr>
              <w:t xml:space="preserve">1-1</w:t>
            </w:r>
            <w:r/>
          </w:p>
        </w:tc>
        <w:tc>
          <w:tcPr>
            <w:tcW w:w="1189" w:type="pct"/>
            <w:vAlign w:val="center"/>
            <w:textDirection w:val="lrTb"/>
            <w:noWrap w:val="false"/>
          </w:tcPr>
          <w:p>
            <w:pPr>
              <w:ind w:left="199" w:hanging="199"/>
              <w:rPr>
                <w:rFonts w:ascii="宋体" w:hAnsi="宋体" w:cs="宋体"/>
                <w:sz w:val="21"/>
                <w:szCs w:val="21"/>
                <w:highlight w:val="none"/>
              </w:rPr>
            </w:pPr>
            <w:r>
              <w:rPr>
                <w:rFonts w:hint="eastAsia" w:ascii="宋体" w:hAnsi="宋体" w:cs="宋体"/>
                <w:sz w:val="21"/>
                <w:szCs w:val="21"/>
                <w:highlight w:val="none"/>
              </w:rPr>
              <w:t xml:space="preserve">投标人资格声明函</w:t>
            </w:r>
            <w:r/>
          </w:p>
        </w:tc>
        <w:tc>
          <w:tcPr>
            <w:tcW w:w="2329" w:type="pct"/>
            <w:vAlign w:val="center"/>
            <w:textDirection w:val="lrTb"/>
            <w:noWrap w:val="false"/>
          </w:tcPr>
          <w:p>
            <w:pPr>
              <w:ind w:left="199" w:hanging="199"/>
              <w:rPr>
                <w:rFonts w:ascii="宋体" w:hAnsi="宋体" w:cs="宋体"/>
                <w:sz w:val="21"/>
                <w:szCs w:val="21"/>
                <w:highlight w:val="none"/>
              </w:rPr>
            </w:pPr>
            <w:r>
              <w:rPr>
                <w:rFonts w:hint="eastAsia" w:ascii="宋体" w:hAnsi="宋体" w:cs="宋体"/>
                <w:sz w:val="21"/>
                <w:szCs w:val="21"/>
                <w:highlight w:val="none"/>
              </w:rPr>
              <w:t xml:space="preserve">提供了符合招标文件要求的《投标人资格声明函》</w:t>
            </w:r>
            <w:r/>
          </w:p>
        </w:tc>
        <w:tc>
          <w:tcPr>
            <w:tcW w:w="1025" w:type="pct"/>
            <w:vAlign w:val="center"/>
            <w:textDirection w:val="lrTb"/>
            <w:noWrap w:val="false"/>
          </w:tcPr>
          <w:p>
            <w:pPr>
              <w:ind w:left="199" w:hanging="199"/>
              <w:jc w:val="center"/>
              <w:rPr>
                <w:rFonts w:ascii="宋体" w:hAnsi="宋体" w:cs="宋体"/>
                <w:sz w:val="21"/>
                <w:szCs w:val="21"/>
                <w:highlight w:val="none"/>
              </w:rPr>
            </w:pPr>
            <w:r>
              <w:rPr>
                <w:rFonts w:hint="eastAsia" w:ascii="宋体" w:hAnsi="宋体" w:cs="宋体"/>
                <w:sz w:val="21"/>
                <w:szCs w:val="21"/>
                <w:highlight w:val="none"/>
              </w:rPr>
              <w:t xml:space="preserve">格式见《投标文件格式》</w:t>
            </w:r>
            <w:r/>
          </w:p>
        </w:tc>
      </w:tr>
      <w:tr>
        <w:trPr>
          <w:jc w:val="center"/>
          <w:trHeight w:val="468"/>
        </w:trPr>
        <w:tc>
          <w:tcPr>
            <w:tcW w:w="454" w:type="pct"/>
            <w:vAlign w:val="center"/>
            <w:textDirection w:val="lrTb"/>
            <w:noWrap w:val="false"/>
          </w:tcPr>
          <w:p>
            <w:pPr>
              <w:ind w:left="199" w:hanging="199"/>
              <w:jc w:val="center"/>
              <w:rPr>
                <w:rFonts w:ascii="宋体" w:hAnsi="宋体" w:cs="宋体"/>
                <w:sz w:val="21"/>
                <w:szCs w:val="21"/>
                <w:highlight w:val="none"/>
              </w:rPr>
            </w:pPr>
            <w:r>
              <w:rPr>
                <w:rFonts w:hint="eastAsia" w:ascii="宋体" w:hAnsi="宋体" w:cs="宋体"/>
                <w:sz w:val="21"/>
                <w:szCs w:val="21"/>
                <w:highlight w:val="none"/>
              </w:rPr>
              <w:t xml:space="preserve">1-2</w:t>
            </w:r>
            <w:r/>
          </w:p>
        </w:tc>
        <w:tc>
          <w:tcPr>
            <w:tcW w:w="1189" w:type="pct"/>
            <w:vAlign w:val="center"/>
            <w:textDirection w:val="lrTb"/>
            <w:noWrap w:val="false"/>
          </w:tcPr>
          <w:p>
            <w:pPr>
              <w:ind w:left="199" w:hanging="199"/>
              <w:rPr>
                <w:rFonts w:ascii="宋体" w:hAnsi="宋体" w:cs="宋体"/>
                <w:sz w:val="21"/>
                <w:szCs w:val="21"/>
                <w:highlight w:val="none"/>
              </w:rPr>
            </w:pPr>
            <w:r>
              <w:rPr>
                <w:rFonts w:hint="eastAsia" w:ascii="宋体" w:hAnsi="宋体" w:cs="宋体"/>
                <w:sz w:val="21"/>
                <w:szCs w:val="21"/>
                <w:highlight w:val="none"/>
              </w:rPr>
              <w:t xml:space="preserve">投标人营业执照</w:t>
            </w:r>
            <w:r/>
          </w:p>
        </w:tc>
        <w:tc>
          <w:tcPr>
            <w:tcW w:w="2329" w:type="pct"/>
            <w:vAlign w:val="center"/>
            <w:textDirection w:val="lrTb"/>
            <w:noWrap w:val="false"/>
          </w:tcPr>
          <w:p>
            <w:pPr>
              <w:ind w:left="199" w:hanging="199"/>
              <w:rPr>
                <w:rFonts w:ascii="宋体" w:hAnsi="宋体" w:cs="宋体"/>
                <w:sz w:val="21"/>
                <w:szCs w:val="21"/>
                <w:highlight w:val="none"/>
              </w:rPr>
            </w:pPr>
            <w:r>
              <w:rPr>
                <w:rFonts w:hint="eastAsia" w:ascii="宋体" w:hAnsi="宋体" w:cs="宋体"/>
                <w:sz w:val="21"/>
                <w:szCs w:val="21"/>
                <w:highlight w:val="none"/>
              </w:rPr>
              <w:t xml:space="preserve">法人或者其他组织提供营业执照等证明文件，自然人提供营业执照（如有）及身份证明（双面）</w:t>
            </w:r>
            <w:r/>
          </w:p>
        </w:tc>
        <w:tc>
          <w:tcPr>
            <w:tcW w:w="1025" w:type="pct"/>
            <w:vAlign w:val="center"/>
            <w:textDirection w:val="lrTb"/>
            <w:noWrap w:val="false"/>
          </w:tcPr>
          <w:p>
            <w:pPr>
              <w:ind w:left="199" w:hanging="199"/>
              <w:jc w:val="center"/>
              <w:rPr>
                <w:rFonts w:ascii="宋体" w:hAnsi="宋体" w:cs="宋体"/>
                <w:sz w:val="21"/>
                <w:szCs w:val="21"/>
                <w:highlight w:val="none"/>
              </w:rPr>
            </w:pPr>
            <w:r>
              <w:rPr>
                <w:rFonts w:hint="eastAsia" w:ascii="宋体" w:hAnsi="宋体" w:cs="宋体"/>
                <w:sz w:val="21"/>
                <w:szCs w:val="21"/>
                <w:highlight w:val="none"/>
              </w:rPr>
              <w:t xml:space="preserve">提供扫描件加盖公章</w:t>
            </w:r>
            <w:r/>
          </w:p>
        </w:tc>
      </w:tr>
      <w:tr>
        <w:trPr>
          <w:jc w:val="center"/>
          <w:trHeight w:val="468"/>
        </w:trPr>
        <w:tc>
          <w:tcPr>
            <w:tcW w:w="454" w:type="pct"/>
            <w:vAlign w:val="center"/>
            <w:textDirection w:val="lrTb"/>
            <w:noWrap w:val="false"/>
          </w:tcPr>
          <w:p>
            <w:pPr>
              <w:ind w:left="199" w:hanging="199"/>
              <w:jc w:val="center"/>
              <w:rPr>
                <w:rFonts w:ascii="宋体" w:hAnsi="宋体" w:cs="宋体"/>
                <w:sz w:val="21"/>
                <w:szCs w:val="21"/>
                <w:highlight w:val="none"/>
              </w:rPr>
            </w:pPr>
            <w:r>
              <w:rPr>
                <w:rFonts w:hint="eastAsia" w:ascii="宋体" w:hAnsi="宋体" w:cs="宋体"/>
                <w:sz w:val="21"/>
                <w:szCs w:val="21"/>
                <w:highlight w:val="none"/>
              </w:rPr>
              <w:t xml:space="preserve">1-3</w:t>
            </w:r>
            <w:r/>
          </w:p>
        </w:tc>
        <w:tc>
          <w:tcPr>
            <w:tcW w:w="1189" w:type="pct"/>
            <w:vAlign w:val="center"/>
            <w:textDirection w:val="lrTb"/>
            <w:noWrap w:val="false"/>
          </w:tcPr>
          <w:p>
            <w:pPr>
              <w:ind w:left="199" w:hanging="199"/>
              <w:rPr>
                <w:rFonts w:ascii="宋体" w:hAnsi="宋体" w:cs="宋体"/>
                <w:sz w:val="21"/>
                <w:szCs w:val="21"/>
                <w:highlight w:val="none"/>
              </w:rPr>
            </w:pPr>
            <w:r>
              <w:rPr>
                <w:rFonts w:hint="eastAsia" w:ascii="宋体" w:hAnsi="宋体" w:cs="宋体"/>
                <w:sz w:val="21"/>
                <w:szCs w:val="21"/>
                <w:highlight w:val="none"/>
              </w:rPr>
              <w:t xml:space="preserve">投标人信用记录</w:t>
            </w:r>
            <w:r/>
          </w:p>
        </w:tc>
        <w:tc>
          <w:tcPr>
            <w:tcW w:w="2329" w:type="pct"/>
            <w:vAlign w:val="center"/>
            <w:textDirection w:val="lrTb"/>
            <w:noWrap w:val="false"/>
          </w:tcPr>
          <w:p>
            <w:pPr>
              <w:ind w:left="199" w:hanging="199"/>
              <w:rPr>
                <w:rFonts w:ascii="宋体" w:hAnsi="宋体" w:cs="宋体"/>
                <w:sz w:val="21"/>
                <w:szCs w:val="21"/>
                <w:highlight w:val="none"/>
              </w:rPr>
            </w:pPr>
            <w:r>
              <w:rPr>
                <w:rFonts w:hint="eastAsia" w:ascii="宋体" w:hAnsi="宋体" w:cs="宋体"/>
                <w:sz w:val="21"/>
                <w:szCs w:val="21"/>
                <w:highlight w:val="none"/>
              </w:rPr>
              <w:t xml:space="preserve">查询渠道：信用中国网站和中国政府采购网（www.creditchina.gov.cn、www.ccgp.gov.cn）；</w:t>
            </w:r>
            <w:r/>
          </w:p>
          <w:p>
            <w:pPr>
              <w:ind w:left="199" w:hanging="199"/>
              <w:tabs>
                <w:tab w:val="left" w:pos="900" w:leader="none"/>
                <w:tab w:val="left" w:pos="1980" w:leader="none"/>
              </w:tabs>
              <w:rPr>
                <w:rFonts w:ascii="宋体" w:hAnsi="宋体" w:cs="宋体"/>
                <w:sz w:val="21"/>
                <w:szCs w:val="21"/>
                <w:highlight w:val="none"/>
              </w:rPr>
            </w:pPr>
            <w:r>
              <w:rPr>
                <w:rFonts w:hint="eastAsia" w:ascii="宋体" w:hAnsi="宋体" w:cs="宋体"/>
                <w:sz w:val="21"/>
                <w:szCs w:val="21"/>
                <w:highlight w:val="none"/>
              </w:rPr>
              <w:t xml:space="preserve">截止时点：投标截止时间以后、资格审查阶段采购人或采购代理机构的实际查询时间；</w:t>
            </w:r>
            <w:r/>
          </w:p>
          <w:p>
            <w:pPr>
              <w:ind w:left="199" w:hanging="199"/>
              <w:tabs>
                <w:tab w:val="left" w:pos="900" w:leader="none"/>
                <w:tab w:val="left" w:pos="1980" w:leader="none"/>
              </w:tabs>
              <w:rPr>
                <w:rFonts w:ascii="宋体" w:hAnsi="宋体" w:cs="宋体"/>
                <w:sz w:val="21"/>
                <w:szCs w:val="21"/>
                <w:highlight w:val="none"/>
              </w:rPr>
            </w:pPr>
            <w:r>
              <w:rPr>
                <w:rFonts w:hint="eastAsia" w:ascii="宋体" w:hAnsi="宋体" w:cs="宋体"/>
                <w:sz w:val="21"/>
                <w:szCs w:val="21"/>
                <w:highlight w:val="none"/>
              </w:rPr>
              <w:t xml:space="preserve">信用信息查询记录和证据留存具体方式：查询结果网页打印页作为查询记录和证据，与其他采购文件一并保存；</w:t>
            </w:r>
            <w:r/>
          </w:p>
          <w:p>
            <w:pPr>
              <w:ind w:left="199" w:hanging="199"/>
              <w:rPr>
                <w:rFonts w:ascii="宋体" w:hAnsi="宋体" w:cs="宋体"/>
                <w:sz w:val="21"/>
                <w:szCs w:val="21"/>
                <w:highlight w:val="none"/>
              </w:rPr>
            </w:pPr>
            <w:r>
              <w:rPr>
                <w:rFonts w:hint="eastAsia" w:ascii="宋体" w:hAnsi="宋体" w:cs="宋体"/>
                <w:sz w:val="21"/>
                <w:szCs w:val="21"/>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025" w:type="pct"/>
            <w:vAlign w:val="center"/>
            <w:textDirection w:val="lrTb"/>
            <w:noWrap w:val="false"/>
          </w:tcPr>
          <w:p>
            <w:pPr>
              <w:ind w:left="199" w:hanging="199"/>
              <w:jc w:val="center"/>
              <w:rPr>
                <w:rFonts w:ascii="宋体" w:hAnsi="宋体" w:cs="宋体"/>
                <w:sz w:val="21"/>
                <w:szCs w:val="21"/>
                <w:highlight w:val="none"/>
              </w:rPr>
            </w:pPr>
            <w:r>
              <w:rPr>
                <w:rFonts w:hint="eastAsia" w:ascii="宋体" w:hAnsi="宋体" w:cs="宋体"/>
                <w:sz w:val="21"/>
                <w:szCs w:val="21"/>
                <w:highlight w:val="none"/>
              </w:rPr>
              <w:t xml:space="preserve">无须投标人提供，由采购代理机构查询。</w:t>
            </w:r>
            <w:r/>
          </w:p>
        </w:tc>
      </w:tr>
      <w:tr>
        <w:trPr>
          <w:jc w:val="center"/>
          <w:trHeight w:val="468"/>
        </w:trPr>
        <w:tc>
          <w:tcPr>
            <w:tcW w:w="775" w:type="dxa"/>
            <w:vAlign w:val="center"/>
            <w:textDirection w:val="lrTb"/>
            <w:noWrap w:val="false"/>
          </w:tcPr>
          <w:p>
            <w:pPr>
              <w:jc w:val="left"/>
              <w:rPr>
                <w:rFonts w:ascii="宋体" w:hAnsi="宋体" w:cs="宋体"/>
                <w:sz w:val="21"/>
                <w:szCs w:val="21"/>
                <w:highlight w:val="none"/>
              </w:rPr>
            </w:pPr>
            <w:r>
              <w:rPr>
                <w:sz w:val="21"/>
                <w:szCs w:val="21"/>
                <w:highlight w:val="none"/>
              </w:rPr>
              <w:t xml:space="preserve">2</w:t>
            </w:r>
            <w:r/>
          </w:p>
        </w:tc>
        <w:tc>
          <w:tcPr>
            <w:tcW w:w="2028" w:type="dxa"/>
            <w:vAlign w:val="center"/>
            <w:textDirection w:val="lrTb"/>
            <w:noWrap w:val="false"/>
          </w:tcPr>
          <w:p>
            <w:pPr>
              <w:jc w:val="left"/>
              <w:rPr>
                <w:rFonts w:ascii="宋体" w:hAnsi="宋体" w:cs="宋体"/>
                <w:sz w:val="21"/>
                <w:szCs w:val="21"/>
                <w:highlight w:val="none"/>
              </w:rPr>
            </w:pPr>
            <w:r>
              <w:rPr>
                <w:sz w:val="21"/>
                <w:szCs w:val="21"/>
                <w:highlight w:val="none"/>
              </w:rPr>
              <w:t xml:space="preserve">落实政府采购政策需满足的资格要求</w:t>
            </w:r>
            <w:r/>
          </w:p>
        </w:tc>
        <w:tc>
          <w:tcPr>
            <w:tcW w:w="3971" w:type="dxa"/>
            <w:vAlign w:val="center"/>
            <w:textDirection w:val="lrTb"/>
            <w:noWrap w:val="false"/>
          </w:tcPr>
          <w:p>
            <w:pPr>
              <w:jc w:val="left"/>
              <w:tabs>
                <w:tab w:val="left" w:pos="900" w:leader="none"/>
                <w:tab w:val="left" w:pos="1980" w:leader="none"/>
              </w:tabs>
              <w:rPr>
                <w:rFonts w:ascii="宋体" w:hAnsi="宋体" w:cs="宋体"/>
                <w:sz w:val="21"/>
                <w:szCs w:val="21"/>
                <w:highlight w:val="none"/>
              </w:rPr>
            </w:pPr>
            <w:r>
              <w:rPr>
                <w:sz w:val="21"/>
                <w:szCs w:val="21"/>
                <w:highlight w:val="none"/>
              </w:rPr>
              <w:t xml:space="preserve">具体要求见第一章《采购邀请》</w:t>
            </w:r>
            <w:r/>
          </w:p>
        </w:tc>
        <w:tc>
          <w:tcPr>
            <w:tcW w:w="1025" w:type="pct"/>
            <w:vAlign w:val="center"/>
            <w:textDirection w:val="lrTb"/>
            <w:noWrap w:val="false"/>
          </w:tcPr>
          <w:p>
            <w:pPr>
              <w:ind w:left="199" w:hanging="199"/>
              <w:jc w:val="center"/>
              <w:rPr>
                <w:rFonts w:ascii="宋体" w:hAnsi="宋体" w:cs="宋体"/>
                <w:sz w:val="21"/>
                <w:szCs w:val="21"/>
                <w:highlight w:val="none"/>
              </w:rPr>
            </w:pPr>
            <w:r>
              <w:rPr>
                <w:rFonts w:ascii="宋体" w:hAnsi="宋体" w:cs="宋体"/>
                <w:sz w:val="21"/>
                <w:szCs w:val="21"/>
                <w:highlight w:val="none"/>
              </w:rPr>
            </w:r>
            <w:r/>
          </w:p>
        </w:tc>
      </w:tr>
      <w:tr>
        <w:trPr>
          <w:jc w:val="center"/>
          <w:trHeight w:val="468"/>
        </w:trPr>
        <w:tc>
          <w:tcPr>
            <w:tcW w:w="775" w:type="dxa"/>
            <w:vAlign w:val="center"/>
            <w:textDirection w:val="lrTb"/>
            <w:noWrap w:val="false"/>
          </w:tcPr>
          <w:p>
            <w:pPr>
              <w:jc w:val="center"/>
              <w:tabs>
                <w:tab w:val="left" w:pos="1080" w:leader="none"/>
              </w:tabs>
              <w:rPr>
                <w:sz w:val="21"/>
                <w:szCs w:val="21"/>
                <w:highlight w:val="none"/>
              </w:rPr>
            </w:pPr>
            <w:r>
              <w:rPr>
                <w:sz w:val="21"/>
                <w:szCs w:val="21"/>
                <w:highlight w:val="none"/>
              </w:rPr>
              <w:t xml:space="preserve">2-1</w:t>
            </w:r>
            <w:r/>
          </w:p>
        </w:tc>
        <w:tc>
          <w:tcPr>
            <w:tcW w:w="2028" w:type="dxa"/>
            <w:vAlign w:val="center"/>
            <w:textDirection w:val="lrTb"/>
            <w:noWrap w:val="false"/>
          </w:tcPr>
          <w:p>
            <w:pPr>
              <w:tabs>
                <w:tab w:val="left" w:pos="1080" w:leader="none"/>
              </w:tabs>
              <w:rPr>
                <w:sz w:val="21"/>
                <w:szCs w:val="21"/>
                <w:highlight w:val="none"/>
              </w:rPr>
            </w:pPr>
            <w:r>
              <w:rPr>
                <w:sz w:val="21"/>
                <w:szCs w:val="21"/>
                <w:highlight w:val="none"/>
              </w:rPr>
              <w:t xml:space="preserve">中小企业声明函</w:t>
            </w:r>
            <w:r/>
          </w:p>
        </w:tc>
        <w:tc>
          <w:tcPr>
            <w:tcW w:w="3971" w:type="dxa"/>
            <w:vAlign w:val="center"/>
            <w:textDirection w:val="lrTb"/>
            <w:noWrap w:val="false"/>
          </w:tcPr>
          <w:p>
            <w:pPr>
              <w:tabs>
                <w:tab w:val="left" w:pos="1080" w:leader="none"/>
              </w:tabs>
              <w:rPr>
                <w:sz w:val="21"/>
                <w:szCs w:val="21"/>
                <w:highlight w:val="none"/>
              </w:rPr>
            </w:pPr>
            <w:r>
              <w:rPr>
                <w:rFonts w:hint="eastAsia"/>
                <w:sz w:val="21"/>
                <w:szCs w:val="21"/>
                <w:highlight w:val="none"/>
              </w:rPr>
              <w:t xml:space="preserve">1、投标人单独投标的，应提供中小企业声明函；如为监狱企业或</w:t>
            </w:r>
            <w:r>
              <w:rPr>
                <w:sz w:val="21"/>
                <w:szCs w:val="21"/>
                <w:highlight w:val="none"/>
              </w:rPr>
              <w:t xml:space="preserve">残疾人福利性单位</w:t>
            </w:r>
            <w:r>
              <w:rPr>
                <w:rFonts w:hint="eastAsia"/>
                <w:sz w:val="21"/>
                <w:szCs w:val="21"/>
                <w:highlight w:val="none"/>
              </w:rPr>
              <w:t xml:space="preserve">，不必提供中小企业声明函，但须按注1或注2要求提供证明材料。</w:t>
            </w:r>
            <w:r/>
          </w:p>
          <w:p>
            <w:pPr>
              <w:tabs>
                <w:tab w:val="left" w:pos="1080" w:leader="none"/>
              </w:tabs>
              <w:rPr>
                <w:sz w:val="21"/>
                <w:szCs w:val="21"/>
                <w:highlight w:val="none"/>
              </w:rPr>
            </w:pPr>
            <w:r>
              <w:rPr>
                <w:rFonts w:hint="eastAsia"/>
                <w:sz w:val="21"/>
                <w:szCs w:val="21"/>
                <w:highlight w:val="none"/>
              </w:rPr>
              <w:t xml:space="preserve">2、如招标文件</w:t>
            </w:r>
            <w:r>
              <w:rPr>
                <w:sz w:val="21"/>
                <w:szCs w:val="21"/>
                <w:highlight w:val="none"/>
              </w:rPr>
              <w:t xml:space="preserve">要求以联合体形式参加或者要求合同分包的，</w:t>
            </w:r>
            <w:r>
              <w:rPr>
                <w:rFonts w:hint="eastAsia"/>
                <w:sz w:val="21"/>
                <w:szCs w:val="21"/>
                <w:highlight w:val="none"/>
              </w:rPr>
              <w:t xml:space="preserve">且投标人为联合体或拟进行合同分包的，则</w:t>
            </w:r>
            <w:r>
              <w:rPr>
                <w:sz w:val="21"/>
                <w:szCs w:val="21"/>
                <w:highlight w:val="none"/>
              </w:rPr>
              <w:t xml:space="preserve">联合体中的中小企业、签订分包意向协议的中小企业具体情况须在《中小企业声明函》中如实填报。</w:t>
            </w:r>
            <w:r>
              <w:rPr>
                <w:rFonts w:hint="eastAsia"/>
                <w:sz w:val="21"/>
                <w:szCs w:val="21"/>
                <w:highlight w:val="none"/>
              </w:rPr>
              <w:t xml:space="preserve">上述中小企业如为监狱企业或</w:t>
            </w:r>
            <w:r>
              <w:rPr>
                <w:sz w:val="21"/>
                <w:szCs w:val="21"/>
                <w:highlight w:val="none"/>
              </w:rPr>
              <w:t xml:space="preserve">残疾人福利性单位</w:t>
            </w:r>
            <w:r>
              <w:rPr>
                <w:rFonts w:hint="eastAsia"/>
                <w:sz w:val="21"/>
                <w:szCs w:val="21"/>
                <w:highlight w:val="none"/>
              </w:rPr>
              <w:t xml:space="preserve">应在声明函中如实列明单位性质，并按注1或注2要求提供证明材料。</w:t>
            </w:r>
            <w:r/>
          </w:p>
          <w:p>
            <w:pPr>
              <w:tabs>
                <w:tab w:val="left" w:pos="1080" w:leader="none"/>
              </w:tabs>
              <w:rPr>
                <w:sz w:val="21"/>
                <w:szCs w:val="21"/>
                <w:highlight w:val="none"/>
              </w:rPr>
            </w:pPr>
            <w:r>
              <w:rPr>
                <w:sz w:val="21"/>
                <w:szCs w:val="21"/>
                <w:highlight w:val="none"/>
              </w:rPr>
            </w:r>
            <w:r/>
          </w:p>
          <w:p>
            <w:pPr>
              <w:tabs>
                <w:tab w:val="left" w:pos="1080" w:leader="none"/>
              </w:tabs>
              <w:rPr>
                <w:sz w:val="21"/>
                <w:szCs w:val="21"/>
                <w:highlight w:val="none"/>
              </w:rPr>
            </w:pPr>
            <w:r>
              <w:rPr>
                <w:rFonts w:hint="eastAsia"/>
                <w:sz w:val="21"/>
                <w:szCs w:val="21"/>
                <w:highlight w:val="none"/>
              </w:rPr>
              <w:t xml:space="preserve">注1：</w:t>
            </w:r>
            <w:r>
              <w:rPr>
                <w:sz w:val="21"/>
                <w:szCs w:val="21"/>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sz w:val="21"/>
                <w:szCs w:val="21"/>
                <w:highlight w:val="none"/>
              </w:rPr>
            </w:pPr>
            <w:r>
              <w:rPr>
                <w:rFonts w:hint="eastAsia"/>
                <w:sz w:val="21"/>
                <w:szCs w:val="21"/>
                <w:highlight w:val="none"/>
              </w:rPr>
              <w:t xml:space="preserve">注2：</w:t>
            </w:r>
            <w:r>
              <w:rPr>
                <w:sz w:val="21"/>
                <w:szCs w:val="21"/>
                <w:highlight w:val="none"/>
              </w:rPr>
              <w:t xml:space="preserve">残疾人福利性单位须按招标文件要求提供《残疾人福利性单位声明函》。</w:t>
            </w:r>
            <w:r/>
          </w:p>
        </w:tc>
        <w:tc>
          <w:tcPr>
            <w:tcW w:w="1748" w:type="dxa"/>
            <w:vAlign w:val="center"/>
            <w:textDirection w:val="lrTb"/>
            <w:noWrap w:val="false"/>
          </w:tcPr>
          <w:p>
            <w:pPr>
              <w:tabs>
                <w:tab w:val="left" w:pos="1080" w:leader="none"/>
              </w:tabs>
              <w:rPr>
                <w:rFonts w:ascii="宋体" w:hAnsi="宋体" w:cs="宋体"/>
                <w:sz w:val="21"/>
                <w:szCs w:val="21"/>
                <w:highlight w:val="none"/>
              </w:rPr>
            </w:pPr>
            <w:r>
              <w:rPr>
                <w:sz w:val="21"/>
                <w:szCs w:val="21"/>
                <w:highlight w:val="none"/>
              </w:rPr>
              <w:t xml:space="preserve">格式见《投标文件格式》</w:t>
            </w:r>
            <w:r/>
          </w:p>
        </w:tc>
      </w:tr>
      <w:tr>
        <w:trPr>
          <w:jc w:val="center"/>
          <w:trHeight w:val="468"/>
        </w:trPr>
        <w:tc>
          <w:tcPr>
            <w:tcW w:w="775" w:type="dxa"/>
            <w:vAlign w:val="center"/>
            <w:textDirection w:val="lrTb"/>
            <w:noWrap w:val="false"/>
          </w:tcPr>
          <w:p>
            <w:pPr>
              <w:jc w:val="left"/>
              <w:rPr>
                <w:sz w:val="21"/>
                <w:szCs w:val="21"/>
                <w:highlight w:val="none"/>
              </w:rPr>
            </w:pPr>
            <w:r>
              <w:rPr>
                <w:rFonts w:hint="eastAsia"/>
                <w:color w:val="auto"/>
                <w:sz w:val="21"/>
                <w:szCs w:val="21"/>
                <w:highlight w:val="none"/>
                <w:lang w:val="en-US" w:eastAsia="zh-CN"/>
              </w:rPr>
              <w:t xml:space="preserve">3</w:t>
            </w:r>
            <w:r/>
          </w:p>
        </w:tc>
        <w:tc>
          <w:tcPr>
            <w:tcW w:w="2028" w:type="dxa"/>
            <w:vAlign w:val="center"/>
            <w:textDirection w:val="lrTb"/>
            <w:noWrap w:val="false"/>
          </w:tcPr>
          <w:p>
            <w:pPr>
              <w:jc w:val="left"/>
              <w:rPr>
                <w:sz w:val="21"/>
                <w:szCs w:val="21"/>
                <w:highlight w:val="none"/>
              </w:rPr>
            </w:pPr>
            <w:r>
              <w:rPr>
                <w:rFonts w:hint="eastAsia"/>
                <w:color w:val="auto"/>
                <w:sz w:val="21"/>
                <w:szCs w:val="21"/>
                <w:highlight w:val="none"/>
                <w:lang w:val="en-US" w:eastAsia="zh-CN"/>
              </w:rPr>
              <w:t xml:space="preserve">本项目特定资格要求</w:t>
            </w:r>
            <w:r/>
          </w:p>
        </w:tc>
        <w:tc>
          <w:tcPr>
            <w:tcW w:w="3971" w:type="dxa"/>
            <w:vAlign w:val="center"/>
            <w:textDirection w:val="lrTb"/>
            <w:noWrap w:val="false"/>
          </w:tcPr>
          <w:p>
            <w:pPr>
              <w:jc w:val="left"/>
              <w:tabs>
                <w:tab w:val="left" w:pos="900" w:leader="none"/>
                <w:tab w:val="left" w:pos="1980" w:leader="none"/>
              </w:tabs>
              <w:rPr>
                <w:rFonts w:hint="eastAsia"/>
                <w:sz w:val="21"/>
                <w:szCs w:val="21"/>
                <w:highlight w:val="none"/>
              </w:rPr>
            </w:pPr>
            <w:r>
              <w:rPr>
                <w:rFonts w:hint="eastAsia"/>
                <w:sz w:val="21"/>
                <w:szCs w:val="21"/>
                <w:highlight w:val="none"/>
              </w:rPr>
            </w:r>
            <w:r/>
          </w:p>
        </w:tc>
        <w:tc>
          <w:tcPr>
            <w:tcW w:w="1748" w:type="dxa"/>
            <w:vAlign w:val="center"/>
            <w:textDirection w:val="lrTb"/>
            <w:noWrap w:val="false"/>
          </w:tcPr>
          <w:p>
            <w:pPr>
              <w:jc w:val="left"/>
              <w:rPr>
                <w:sz w:val="21"/>
                <w:szCs w:val="21"/>
                <w:highlight w:val="none"/>
              </w:rPr>
            </w:pPr>
            <w:r>
              <w:rPr>
                <w:sz w:val="21"/>
                <w:szCs w:val="21"/>
                <w:highlight w:val="none"/>
              </w:rPr>
            </w:r>
            <w:r/>
          </w:p>
        </w:tc>
      </w:tr>
      <w:tr>
        <w:trPr>
          <w:jc w:val="center"/>
          <w:trHeight w:val="468"/>
        </w:trPr>
        <w:tc>
          <w:tcPr>
            <w:tcW w:w="775" w:type="dxa"/>
            <w:vAlign w:val="center"/>
            <w:textDirection w:val="lrTb"/>
            <w:noWrap w:val="false"/>
          </w:tcPr>
          <w:p>
            <w:pPr>
              <w:jc w:val="left"/>
              <w:rPr>
                <w:sz w:val="21"/>
                <w:szCs w:val="21"/>
                <w:highlight w:val="none"/>
              </w:rPr>
            </w:pPr>
            <w:r>
              <w:rPr>
                <w:rFonts w:hint="eastAsia"/>
                <w:color w:val="auto"/>
                <w:sz w:val="21"/>
                <w:szCs w:val="21"/>
                <w:highlight w:val="none"/>
                <w:lang w:val="en-US" w:eastAsia="zh-CN"/>
              </w:rPr>
              <w:t xml:space="preserve">3-1</w:t>
            </w:r>
            <w:r/>
          </w:p>
        </w:tc>
        <w:tc>
          <w:tcPr>
            <w:tcW w:w="2028" w:type="dxa"/>
            <w:vAlign w:val="center"/>
            <w:textDirection w:val="lrTb"/>
            <w:noWrap w:val="false"/>
          </w:tcPr>
          <w:p>
            <w:pPr>
              <w:jc w:val="left"/>
              <w:rPr>
                <w:sz w:val="21"/>
                <w:szCs w:val="21"/>
                <w:highlight w:val="none"/>
              </w:rPr>
            </w:pPr>
            <w:r>
              <w:rPr>
                <w:rFonts w:hint="eastAsia"/>
                <w:color w:val="auto"/>
                <w:sz w:val="21"/>
                <w:szCs w:val="21"/>
                <w:highlight w:val="none"/>
                <w:lang w:val="en-US" w:eastAsia="zh-CN"/>
              </w:rPr>
              <w:t xml:space="preserve">其他特定资格要求</w:t>
            </w:r>
            <w:r/>
          </w:p>
        </w:tc>
        <w:tc>
          <w:tcPr>
            <w:tcW w:w="3971" w:type="dxa"/>
            <w:vAlign w:val="center"/>
            <w:textDirection w:val="lrTb"/>
            <w:noWrap w:val="false"/>
          </w:tcPr>
          <w:p>
            <w:pPr>
              <w:numPr>
                <w:ilvl w:val="0"/>
                <w:numId w:val="0"/>
              </w:numPr>
              <w:jc w:val="left"/>
              <w:tabs>
                <w:tab w:val="left" w:pos="900" w:leader="none"/>
                <w:tab w:val="left" w:pos="1980" w:leader="none"/>
              </w:tabs>
              <w:rPr>
                <w:rFonts w:hint="eastAsia"/>
                <w:sz w:val="21"/>
                <w:szCs w:val="21"/>
                <w:highlight w:val="none"/>
              </w:rPr>
            </w:pPr>
            <w:r>
              <w:rPr>
                <w:rFonts w:hint="eastAsia"/>
                <w:sz w:val="21"/>
                <w:szCs w:val="21"/>
                <w:highlight w:val="none"/>
              </w:rPr>
              <w:t xml:space="preserve">投标人环保信用等级在省级监测服务机构环保信用评价系统查询结果需为蓝色或绿色（或同等级别如B级（良）及以上）。</w:t>
            </w:r>
            <w:r/>
          </w:p>
        </w:tc>
        <w:tc>
          <w:tcPr>
            <w:tcW w:w="1748" w:type="dxa"/>
            <w:vAlign w:val="center"/>
            <w:textDirection w:val="lrTb"/>
            <w:noWrap w:val="false"/>
          </w:tcPr>
          <w:p>
            <w:pPr>
              <w:numPr>
                <w:ilvl w:val="0"/>
                <w:numId w:val="0"/>
              </w:numPr>
              <w:rPr>
                <w:sz w:val="21"/>
                <w:szCs w:val="21"/>
                <w:highlight w:val="none"/>
              </w:rPr>
            </w:pPr>
            <w:r>
              <w:rPr>
                <w:rFonts w:hint="eastAsia"/>
                <w:sz w:val="21"/>
                <w:szCs w:val="21"/>
                <w:highlight w:val="none"/>
              </w:rPr>
              <w:t xml:space="preserve">提供查询结果证明材料</w:t>
            </w:r>
            <w:r>
              <w:rPr>
                <w:rFonts w:hint="eastAsia"/>
                <w:sz w:val="21"/>
                <w:szCs w:val="21"/>
                <w:highlight w:val="none"/>
                <w:lang w:val="en-US" w:eastAsia="zh-CN"/>
              </w:rPr>
              <w:t xml:space="preserve">扫描件</w:t>
            </w:r>
            <w:r>
              <w:rPr>
                <w:rFonts w:hint="eastAsia"/>
                <w:sz w:val="21"/>
                <w:szCs w:val="21"/>
                <w:highlight w:val="none"/>
              </w:rPr>
              <w:t xml:space="preserve">加盖公章</w:t>
            </w:r>
            <w:r/>
          </w:p>
        </w:tc>
      </w:tr>
    </w:tbl>
    <w:p>
      <w:pPr>
        <w:pStyle w:val="989"/>
        <w:ind w:left="343" w:hanging="343"/>
        <w:rPr>
          <w:rFonts w:ascii="宋体" w:hAnsi="宋体" w:cs="宋体"/>
          <w:highlight w:val="none"/>
        </w:rPr>
      </w:pPr>
      <w:r>
        <w:rPr>
          <w:rFonts w:hint="eastAsia" w:ascii="宋体" w:hAnsi="宋体" w:cs="宋体"/>
          <w:sz w:val="24"/>
          <w:highlight w:val="none"/>
        </w:rPr>
        <w:br w:type="page" w:clear="all"/>
      </w:r>
      <w:bookmarkStart w:id="479" w:name="_Toc15674"/>
      <w:r/>
      <w:bookmarkStart w:id="480" w:name="_Toc9853"/>
      <w:r/>
      <w:bookmarkStart w:id="481" w:name="_Toc21485"/>
      <w:r>
        <w:rPr>
          <w:rFonts w:hint="eastAsia" w:ascii="宋体" w:hAnsi="宋体" w:cs="宋体"/>
          <w:highlight w:val="none"/>
        </w:rPr>
        <w:t xml:space="preserve">第四章 评标程序、评标方法和评标标准</w:t>
      </w:r>
      <w:bookmarkEnd w:id="477"/>
      <w:r/>
      <w:bookmarkEnd w:id="479"/>
      <w:r/>
      <w:bookmarkEnd w:id="480"/>
      <w:r/>
      <w:bookmarkEnd w:id="481"/>
      <w:r/>
      <w:r/>
    </w:p>
    <w:p>
      <w:pPr>
        <w:ind w:left="267" w:hanging="267"/>
        <w:jc w:val="center"/>
        <w:spacing w:line="360" w:lineRule="auto"/>
        <w:rPr>
          <w:rFonts w:ascii="宋体" w:hAnsi="宋体" w:cs="宋体"/>
          <w:b/>
          <w:sz w:val="28"/>
          <w:szCs w:val="28"/>
          <w:highlight w:val="none"/>
        </w:rPr>
      </w:pPr>
      <w:r>
        <w:rPr>
          <w:rFonts w:hint="eastAsia" w:ascii="宋体" w:hAnsi="宋体" w:cs="宋体"/>
          <w:b/>
          <w:sz w:val="28"/>
          <w:szCs w:val="28"/>
          <w:highlight w:val="none"/>
        </w:rPr>
        <w:t xml:space="preserve">一、评标程序</w:t>
      </w:r>
      <w:r/>
    </w:p>
    <w:p>
      <w:pPr>
        <w:pStyle w:val="1038"/>
        <w:numPr>
          <w:ilvl w:val="0"/>
          <w:numId w:val="7"/>
        </w:numPr>
        <w:jc w:val="left"/>
        <w:spacing w:line="360" w:lineRule="auto"/>
        <w:rPr>
          <w:rFonts w:ascii="宋体" w:hAnsi="宋体" w:cs="宋体"/>
          <w:sz w:val="24"/>
          <w:highlight w:val="none"/>
        </w:rPr>
      </w:pPr>
      <w:r/>
      <w:bookmarkStart w:id="482" w:name="_Toc151193711"/>
      <w:r/>
      <w:bookmarkStart w:id="483" w:name="_Toc305158883"/>
      <w:r/>
      <w:bookmarkStart w:id="484" w:name="_Toc305158809"/>
      <w:r/>
      <w:bookmarkStart w:id="485" w:name="_Toc149720834"/>
      <w:r/>
      <w:bookmarkStart w:id="486" w:name="_Toc164229236"/>
      <w:r/>
      <w:bookmarkStart w:id="487" w:name="_Toc151190168"/>
      <w:r/>
      <w:bookmarkStart w:id="488" w:name="_Toc164608810"/>
      <w:r/>
      <w:bookmarkStart w:id="489" w:name="_Toc150774746"/>
      <w:r/>
      <w:bookmarkStart w:id="490" w:name="_Toc150774641"/>
      <w:r/>
      <w:bookmarkStart w:id="491" w:name="_Toc265228379"/>
      <w:r/>
      <w:bookmarkStart w:id="492" w:name="_Toc151193639"/>
      <w:r/>
      <w:bookmarkStart w:id="493" w:name="_Toc151193929"/>
      <w:r/>
      <w:bookmarkStart w:id="494" w:name="_Toc150480779"/>
      <w:r/>
      <w:bookmarkStart w:id="495" w:name="_Toc127151541"/>
      <w:r/>
      <w:bookmarkStart w:id="496" w:name="_Toc226309785"/>
      <w:r/>
      <w:bookmarkStart w:id="497" w:name="_Toc127151742"/>
      <w:r/>
      <w:bookmarkStart w:id="498" w:name="_Toc164351635"/>
      <w:r/>
      <w:bookmarkStart w:id="499" w:name="_Toc195842906"/>
      <w:r/>
      <w:bookmarkStart w:id="500" w:name="_Toc264969231"/>
      <w:r/>
      <w:bookmarkStart w:id="501" w:name="_Toc164608655"/>
      <w:r/>
      <w:bookmarkStart w:id="502" w:name="_Toc226337237"/>
      <w:r/>
      <w:bookmarkStart w:id="503" w:name="_Toc142311043"/>
      <w:r/>
      <w:bookmarkStart w:id="504" w:name="_Toc127161455"/>
      <w:r/>
      <w:bookmarkStart w:id="505" w:name="_Toc226965731"/>
      <w:r/>
      <w:bookmarkStart w:id="506" w:name="_Toc151193783"/>
      <w:r/>
      <w:bookmarkStart w:id="507" w:name="_Toc151193855"/>
      <w:r/>
      <w:bookmarkStart w:id="508" w:name="_Toc164229382"/>
      <w:r/>
      <w:bookmarkStart w:id="509" w:name="_Toc150509292"/>
      <w:r/>
      <w:bookmarkStart w:id="510" w:name="_Toc226965814"/>
      <w:r>
        <w:rPr>
          <w:rFonts w:hint="eastAsia" w:ascii="宋体" w:hAnsi="宋体" w:cs="宋体"/>
          <w:sz w:val="24"/>
          <w:highlight w:val="none"/>
        </w:rPr>
        <w:t xml:space="preserve">投标文件的符合性审查</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
    </w:p>
    <w:p>
      <w:pPr>
        <w:pStyle w:val="1038"/>
        <w:numPr>
          <w:ilvl w:val="1"/>
          <w:numId w:val="7"/>
        </w:numPr>
        <w:jc w:val="left"/>
        <w:spacing w:line="360" w:lineRule="auto"/>
        <w:rPr>
          <w:rFonts w:ascii="宋体" w:hAnsi="宋体" w:cs="宋体"/>
          <w:sz w:val="24"/>
          <w:highlight w:val="none"/>
        </w:rPr>
      </w:pPr>
      <w:r>
        <w:rPr>
          <w:rFonts w:hint="eastAsia" w:ascii="宋体" w:hAnsi="宋体" w:cs="宋体"/>
          <w:sz w:val="24"/>
          <w:highlight w:val="none"/>
        </w:rPr>
        <w:t xml:space="preserve">评标委员会对资格审查合格的投标人的投标文件进行符合性审查，以确定其是否满足招标文件的实质性要求。</w:t>
      </w:r>
      <w:r/>
    </w:p>
    <w:p>
      <w:pPr>
        <w:pStyle w:val="1038"/>
        <w:numPr>
          <w:ilvl w:val="1"/>
          <w:numId w:val="7"/>
        </w:numPr>
        <w:jc w:val="left"/>
        <w:spacing w:line="360" w:lineRule="auto"/>
        <w:rPr>
          <w:rFonts w:ascii="宋体" w:hAnsi="宋体" w:cs="宋体"/>
          <w:sz w:val="24"/>
          <w:highlight w:val="none"/>
        </w:rPr>
      </w:pPr>
      <w:r>
        <w:rPr>
          <w:rFonts w:hint="eastAsia" w:ascii="宋体" w:hAnsi="宋体" w:cs="宋体"/>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ind w:left="200" w:hanging="200"/>
        <w:jc w:val="center"/>
        <w:spacing w:line="360" w:lineRule="auto"/>
        <w:rPr>
          <w:rFonts w:ascii="宋体" w:hAnsi="宋体" w:cs="宋体"/>
          <w:b/>
          <w:szCs w:val="21"/>
          <w:highlight w:val="none"/>
        </w:rPr>
      </w:pPr>
      <w:r>
        <w:rPr>
          <w:rFonts w:hint="eastAsia" w:ascii="宋体" w:hAnsi="宋体" w:cs="宋体"/>
          <w:b/>
          <w:szCs w:val="21"/>
          <w:highlight w:val="none"/>
        </w:rPr>
        <w:t xml:space="preserve">符合性审查要求</w:t>
      </w:r>
      <w:r/>
    </w:p>
    <w:tbl>
      <w:tblPr>
        <w:tblStyle w:val="994"/>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ind w:left="200" w:hanging="200"/>
              <w:jc w:val="center"/>
              <w:widowControl/>
              <w:rPr>
                <w:rFonts w:ascii="宋体" w:hAnsi="宋体" w:cs="宋体"/>
                <w:b/>
                <w:szCs w:val="21"/>
                <w:highlight w:val="none"/>
              </w:rPr>
            </w:pPr>
            <w:r>
              <w:rPr>
                <w:rFonts w:hint="eastAsia" w:ascii="宋体" w:hAnsi="宋体" w:cs="宋体"/>
                <w:b/>
                <w:szCs w:val="21"/>
                <w:highlight w:val="none"/>
              </w:rPr>
              <w:t xml:space="preserve">序号</w:t>
            </w:r>
            <w:r/>
          </w:p>
        </w:tc>
        <w:tc>
          <w:tcPr>
            <w:tcW w:w="1813" w:type="dxa"/>
            <w:vAlign w:val="center"/>
            <w:textDirection w:val="lrTb"/>
            <w:noWrap w:val="false"/>
          </w:tcPr>
          <w:p>
            <w:pPr>
              <w:ind w:left="200" w:hanging="200"/>
              <w:jc w:val="center"/>
              <w:widowControl/>
              <w:rPr>
                <w:rFonts w:ascii="宋体" w:hAnsi="宋体" w:cs="宋体"/>
                <w:b/>
                <w:szCs w:val="21"/>
                <w:highlight w:val="none"/>
              </w:rPr>
            </w:pPr>
            <w:r>
              <w:rPr>
                <w:rFonts w:hint="eastAsia" w:ascii="宋体" w:hAnsi="宋体" w:cs="宋体"/>
                <w:b/>
                <w:szCs w:val="21"/>
                <w:highlight w:val="none"/>
              </w:rPr>
              <w:t xml:space="preserve">审查因素</w:t>
            </w:r>
            <w:r/>
          </w:p>
        </w:tc>
        <w:tc>
          <w:tcPr>
            <w:tcW w:w="6108" w:type="dxa"/>
            <w:vAlign w:val="center"/>
            <w:textDirection w:val="lrTb"/>
            <w:noWrap w:val="false"/>
          </w:tcPr>
          <w:p>
            <w:pPr>
              <w:ind w:left="200" w:hanging="200"/>
              <w:jc w:val="center"/>
              <w:widowControl/>
              <w:rPr>
                <w:rFonts w:ascii="宋体" w:hAnsi="宋体" w:cs="宋体"/>
                <w:b/>
                <w:szCs w:val="21"/>
                <w:highlight w:val="none"/>
              </w:rPr>
            </w:pPr>
            <w:r>
              <w:rPr>
                <w:rFonts w:hint="eastAsia" w:ascii="宋体" w:hAnsi="宋体" w:cs="宋体"/>
                <w:b/>
                <w:szCs w:val="21"/>
                <w:highlight w:val="none"/>
              </w:rPr>
              <w:t xml:space="preserve">审查内容</w:t>
            </w:r>
            <w:r/>
          </w:p>
        </w:tc>
      </w:tr>
      <w:tr>
        <w:trPr>
          <w:jc w:val="center"/>
          <w:trHeight w:val="685"/>
        </w:trPr>
        <w:tc>
          <w:tcPr>
            <w:tcW w:w="750" w:type="dxa"/>
            <w:vAlign w:val="center"/>
            <w:textDirection w:val="lrTb"/>
            <w:noWrap w:val="false"/>
          </w:tcPr>
          <w:p>
            <w:pPr>
              <w:ind w:left="199" w:hanging="199"/>
              <w:jc w:val="center"/>
              <w:widowControl/>
              <w:rPr>
                <w:rFonts w:ascii="宋体" w:hAnsi="宋体" w:cs="宋体"/>
                <w:szCs w:val="21"/>
                <w:highlight w:val="none"/>
              </w:rPr>
            </w:pPr>
            <w:r>
              <w:rPr>
                <w:rFonts w:hint="eastAsia" w:ascii="宋体" w:hAnsi="宋体" w:cs="宋体"/>
                <w:szCs w:val="21"/>
                <w:highlight w:val="none"/>
              </w:rPr>
              <w:t xml:space="preserve">1</w:t>
            </w:r>
            <w:r/>
          </w:p>
        </w:tc>
        <w:tc>
          <w:tcPr>
            <w:tcW w:w="1813"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投标函、</w:t>
            </w:r>
            <w:r>
              <w:rPr>
                <w:rFonts w:hint="eastAsia" w:ascii="宋体" w:hAnsi="宋体" w:cs="宋体"/>
                <w:szCs w:val="21"/>
                <w:highlight w:val="none"/>
              </w:rPr>
              <w:t xml:space="preserve">法定代表人资格证明书和政府采购供应商信用承诺书</w:t>
            </w:r>
            <w:r/>
          </w:p>
        </w:tc>
        <w:tc>
          <w:tcPr>
            <w:tcW w:w="6108"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按招标文件要求提供投标函、法定代表人资格证明书</w:t>
            </w:r>
            <w:r>
              <w:rPr>
                <w:rFonts w:hint="eastAsia" w:ascii="宋体" w:hAnsi="宋体" w:cs="宋体"/>
                <w:b/>
                <w:bCs/>
                <w:szCs w:val="21"/>
                <w:highlight w:val="none"/>
              </w:rPr>
              <w:t xml:space="preserve">、</w:t>
            </w:r>
            <w:r>
              <w:rPr>
                <w:rFonts w:hint="eastAsia" w:ascii="宋体" w:hAnsi="宋体" w:cs="宋体"/>
                <w:szCs w:val="21"/>
                <w:highlight w:val="none"/>
              </w:rPr>
              <w:t xml:space="preserve">政府采购供应商信用承</w:t>
            </w:r>
            <w:r>
              <w:rPr>
                <w:rFonts w:hint="eastAsia" w:ascii="宋体" w:hAnsi="宋体" w:cs="宋体"/>
                <w:szCs w:val="21"/>
                <w:highlight w:val="none"/>
              </w:rPr>
              <w:t xml:space="preserve">诺书</w:t>
            </w:r>
            <w:r>
              <w:rPr>
                <w:rFonts w:hint="eastAsia" w:ascii="宋体" w:hAnsi="宋体" w:cs="宋体"/>
                <w:szCs w:val="21"/>
                <w:highlight w:val="none"/>
              </w:rPr>
              <w:t xml:space="preserve">；</w:t>
            </w:r>
            <w:r/>
          </w:p>
        </w:tc>
      </w:tr>
      <w:tr>
        <w:trPr>
          <w:jc w:val="center"/>
          <w:trHeight w:val="685"/>
        </w:trPr>
        <w:tc>
          <w:tcPr>
            <w:tcW w:w="750" w:type="dxa"/>
            <w:vAlign w:val="center"/>
            <w:textDirection w:val="lrTb"/>
            <w:noWrap w:val="false"/>
          </w:tcPr>
          <w:p>
            <w:pPr>
              <w:ind w:left="199" w:hanging="199"/>
              <w:jc w:val="center"/>
              <w:widowControl/>
              <w:rPr>
                <w:rFonts w:ascii="宋体" w:hAnsi="宋体" w:cs="宋体"/>
                <w:szCs w:val="21"/>
                <w:highlight w:val="none"/>
              </w:rPr>
            </w:pPr>
            <w:r>
              <w:rPr>
                <w:rFonts w:hint="eastAsia" w:ascii="宋体" w:hAnsi="宋体" w:cs="宋体"/>
                <w:szCs w:val="21"/>
                <w:highlight w:val="none"/>
              </w:rPr>
              <w:t xml:space="preserve">2</w:t>
            </w:r>
            <w:r/>
          </w:p>
        </w:tc>
        <w:tc>
          <w:tcPr>
            <w:tcW w:w="1813"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投标完整性</w:t>
            </w:r>
            <w:r/>
          </w:p>
        </w:tc>
        <w:tc>
          <w:tcPr>
            <w:tcW w:w="6108"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未将一个采购包中的内容拆开投标；（由评委审查，无需供应商提供材料）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ascii="宋体" w:hAnsi="宋体" w:cs="宋体"/>
                <w:szCs w:val="21"/>
                <w:highlight w:val="none"/>
              </w:rPr>
            </w:pPr>
            <w:r>
              <w:rPr>
                <w:rFonts w:hint="eastAsia" w:ascii="宋体" w:hAnsi="宋体" w:cs="宋体"/>
                <w:szCs w:val="21"/>
                <w:highlight w:val="none"/>
              </w:rPr>
              <w:t xml:space="preserve">3</w:t>
            </w:r>
            <w:r/>
          </w:p>
        </w:tc>
        <w:tc>
          <w:tcPr>
            <w:tcW w:w="1813"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投标报价</w:t>
            </w:r>
            <w:r/>
          </w:p>
        </w:tc>
        <w:tc>
          <w:tcPr>
            <w:tcW w:w="6108"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投标报价未</w:t>
            </w:r>
            <w:r>
              <w:rPr>
                <w:rFonts w:hint="eastAsia" w:ascii="宋体" w:hAnsi="宋体" w:cs="宋体"/>
                <w:szCs w:val="21"/>
                <w:highlight w:val="none"/>
              </w:rPr>
              <w:t xml:space="preserve">超过招标文件中规定的项目/采购包预算金额或者项目/采购包最高限价</w:t>
            </w:r>
            <w:r>
              <w:rPr>
                <w:rFonts w:hint="eastAsia" w:ascii="宋体" w:hAnsi="宋体" w:cs="宋体"/>
                <w:szCs w:val="21"/>
                <w:highlight w:val="none"/>
              </w:rPr>
              <w:t xml:space="preserve">；</w:t>
            </w:r>
            <w:r>
              <w:rPr>
                <w:rFonts w:hint="eastAsia" w:ascii="宋体" w:hAnsi="宋体" w:cs="宋体"/>
                <w:szCs w:val="21"/>
                <w:highlight w:val="none"/>
              </w:rPr>
              <w:t xml:space="preserve">（由评委审查，无需供应商提供材料）</w:t>
            </w:r>
            <w:r/>
          </w:p>
        </w:tc>
      </w:tr>
      <w:tr>
        <w:trPr>
          <w:jc w:val="center"/>
          <w:trHeight w:val="664"/>
        </w:trPr>
        <w:tc>
          <w:tcPr>
            <w:tcW w:w="750" w:type="dxa"/>
            <w:vAlign w:val="center"/>
            <w:textDirection w:val="lrTb"/>
            <w:noWrap w:val="false"/>
          </w:tcPr>
          <w:p>
            <w:pPr>
              <w:ind w:left="199" w:hanging="199"/>
              <w:jc w:val="center"/>
              <w:widowControl/>
              <w:rPr>
                <w:rFonts w:ascii="宋体" w:hAnsi="宋体" w:cs="宋体"/>
                <w:szCs w:val="21"/>
                <w:highlight w:val="none"/>
              </w:rPr>
            </w:pPr>
            <w:r>
              <w:rPr>
                <w:rFonts w:hint="eastAsia" w:ascii="宋体" w:hAnsi="宋体" w:cs="宋体"/>
                <w:szCs w:val="21"/>
                <w:highlight w:val="none"/>
              </w:rPr>
              <w:t xml:space="preserve">4</w:t>
            </w:r>
            <w:r/>
          </w:p>
        </w:tc>
        <w:tc>
          <w:tcPr>
            <w:tcW w:w="1813"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报价唯一性</w:t>
            </w:r>
            <w:r/>
          </w:p>
        </w:tc>
        <w:tc>
          <w:tcPr>
            <w:tcW w:w="6108"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投标文件未</w:t>
            </w:r>
            <w:r>
              <w:rPr>
                <w:rFonts w:hint="eastAsia" w:ascii="宋体" w:hAnsi="宋体" w:cs="宋体"/>
                <w:szCs w:val="21"/>
                <w:highlight w:val="none"/>
              </w:rPr>
              <w:t xml:space="preserve">出现可选择性或可调整的报价（招标文件另有规定的除外）</w:t>
            </w:r>
            <w:r>
              <w:rPr>
                <w:rFonts w:hint="eastAsia" w:ascii="宋体" w:hAnsi="宋体" w:cs="宋体"/>
                <w:szCs w:val="21"/>
                <w:highlight w:val="none"/>
              </w:rPr>
              <w:t xml:space="preserve">；</w:t>
            </w:r>
            <w:r>
              <w:rPr>
                <w:rFonts w:hint="eastAsia" w:ascii="宋体" w:hAnsi="宋体" w:cs="宋体"/>
                <w:b/>
                <w:szCs w:val="21"/>
                <w:highlight w:val="none"/>
              </w:rPr>
              <w:t xml:space="preserve">提供《开标一览表》</w:t>
            </w:r>
            <w:r>
              <w:rPr>
                <w:rFonts w:hint="eastAsia" w:ascii="宋体" w:hAnsi="宋体" w:cs="宋体"/>
                <w:szCs w:val="21"/>
                <w:highlight w:val="none"/>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ascii="宋体" w:hAnsi="宋体" w:cs="宋体"/>
                <w:szCs w:val="21"/>
                <w:highlight w:val="none"/>
              </w:rPr>
            </w:pPr>
            <w:r>
              <w:rPr>
                <w:rFonts w:hint="eastAsia" w:ascii="宋体" w:hAnsi="宋体" w:cs="宋体"/>
                <w:szCs w:val="21"/>
                <w:highlight w:val="none"/>
              </w:rPr>
              <w:t xml:space="preserve">5</w:t>
            </w:r>
            <w:r/>
          </w:p>
        </w:tc>
        <w:tc>
          <w:tcPr>
            <w:tcW w:w="1813"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投标有效期</w:t>
            </w:r>
            <w:r/>
          </w:p>
        </w:tc>
        <w:tc>
          <w:tcPr>
            <w:tcW w:w="6108"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投标文件中承诺的投标有效期满足招标文件中载明的投标有效期的；（详见附件投标函）</w:t>
            </w:r>
            <w:r/>
          </w:p>
        </w:tc>
      </w:tr>
      <w:tr>
        <w:trPr>
          <w:jc w:val="center"/>
          <w:trHeight w:val="685"/>
        </w:trPr>
        <w:tc>
          <w:tcPr>
            <w:tcW w:w="750" w:type="dxa"/>
            <w:vAlign w:val="center"/>
            <w:textDirection w:val="lrTb"/>
            <w:noWrap w:val="false"/>
          </w:tcPr>
          <w:p>
            <w:pPr>
              <w:ind w:left="199" w:hanging="199"/>
              <w:jc w:val="center"/>
              <w:widowControl/>
              <w:rPr>
                <w:rFonts w:ascii="宋体" w:hAnsi="宋体" w:cs="宋体"/>
                <w:szCs w:val="21"/>
                <w:highlight w:val="none"/>
              </w:rPr>
            </w:pPr>
            <w:r>
              <w:rPr>
                <w:rFonts w:hint="eastAsia" w:ascii="宋体" w:hAnsi="宋体" w:cs="宋体"/>
                <w:szCs w:val="21"/>
                <w:highlight w:val="none"/>
              </w:rPr>
              <w:t xml:space="preserve">6</w:t>
            </w:r>
            <w:r/>
          </w:p>
        </w:tc>
        <w:tc>
          <w:tcPr>
            <w:tcW w:w="1813"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签署、加盖公章</w:t>
            </w:r>
            <w:r/>
          </w:p>
        </w:tc>
        <w:tc>
          <w:tcPr>
            <w:tcW w:w="6108"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按照招标文件要求签署、加盖公章的；（由评委审查，无需供应商提供材料）</w:t>
            </w:r>
            <w:r/>
          </w:p>
        </w:tc>
      </w:tr>
      <w:tr>
        <w:trPr>
          <w:jc w:val="center"/>
          <w:trHeight w:val="938"/>
        </w:trPr>
        <w:tc>
          <w:tcPr>
            <w:tcW w:w="750" w:type="dxa"/>
            <w:vAlign w:val="center"/>
            <w:textDirection w:val="lrTb"/>
            <w:noWrap w:val="false"/>
          </w:tcPr>
          <w:p>
            <w:pPr>
              <w:ind w:left="199" w:hanging="199"/>
              <w:jc w:val="center"/>
              <w:widowControl/>
              <w:rPr>
                <w:rFonts w:ascii="宋体" w:hAnsi="宋体" w:cs="宋体"/>
                <w:szCs w:val="21"/>
                <w:highlight w:val="none"/>
              </w:rPr>
            </w:pPr>
            <w:r>
              <w:rPr>
                <w:rFonts w:hint="eastAsia" w:ascii="宋体" w:hAnsi="宋体" w:cs="宋体"/>
                <w:szCs w:val="21"/>
                <w:highlight w:val="none"/>
              </w:rPr>
              <w:t xml:space="preserve">7</w:t>
            </w:r>
            <w:r/>
          </w:p>
        </w:tc>
        <w:tc>
          <w:tcPr>
            <w:tcW w:w="1813"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实质性格式</w:t>
            </w:r>
            <w:r/>
          </w:p>
        </w:tc>
        <w:tc>
          <w:tcPr>
            <w:tcW w:w="6108"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标记为“实质性格式”的文件均按招标文件要求提供；除前面已提供的实质性格式文件以外，</w:t>
            </w:r>
            <w:r>
              <w:rPr>
                <w:rFonts w:hint="eastAsia" w:ascii="宋体" w:hAnsi="宋体" w:cs="宋体"/>
                <w:b/>
                <w:szCs w:val="21"/>
                <w:highlight w:val="none"/>
              </w:rPr>
              <w:t xml:space="preserve">还需提供：合同条款偏离表，采购需求偏离表</w:t>
            </w:r>
            <w:r>
              <w:rPr>
                <w:rFonts w:hint="eastAsia" w:ascii="宋体" w:hAnsi="宋体" w:cs="宋体"/>
                <w:szCs w:val="21"/>
                <w:highlight w:val="none"/>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ascii="宋体" w:hAnsi="宋体" w:cs="宋体"/>
                <w:szCs w:val="21"/>
                <w:highlight w:val="none"/>
              </w:rPr>
            </w:pPr>
            <w:r>
              <w:rPr>
                <w:rFonts w:hint="eastAsia" w:ascii="宋体" w:hAnsi="宋体" w:cs="宋体"/>
                <w:szCs w:val="21"/>
                <w:highlight w:val="none"/>
              </w:rPr>
              <w:t xml:space="preserve">8</w:t>
            </w:r>
            <w:r/>
          </w:p>
        </w:tc>
        <w:tc>
          <w:tcPr>
            <w:tcW w:w="1813"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★号条款响应</w:t>
            </w:r>
            <w:r/>
          </w:p>
        </w:tc>
        <w:tc>
          <w:tcPr>
            <w:tcW w:w="6108"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投标文件满足招标文件</w:t>
            </w:r>
            <w:r>
              <w:rPr>
                <w:rFonts w:hint="eastAsia" w:ascii="宋体" w:hAnsi="宋体" w:cs="宋体"/>
                <w:szCs w:val="21"/>
                <w:highlight w:val="none"/>
              </w:rPr>
              <w:t xml:space="preserve">第五章《采购需求》</w:t>
            </w:r>
            <w:r>
              <w:rPr>
                <w:rFonts w:hint="eastAsia" w:ascii="宋体" w:hAnsi="宋体" w:cs="宋体"/>
                <w:szCs w:val="21"/>
                <w:highlight w:val="none"/>
              </w:rPr>
              <w:t xml:space="preserve">中★号条款要求的。</w:t>
            </w:r>
            <w:r>
              <w:rPr>
                <w:rFonts w:hint="eastAsia" w:ascii="宋体" w:hAnsi="宋体" w:cs="宋体"/>
                <w:b/>
                <w:bCs/>
                <w:szCs w:val="21"/>
                <w:highlight w:val="none"/>
              </w:rPr>
              <w:t xml:space="preserve">（如第五章《采购需求》中有★号条款要求的，按照序号逐项提供相关材料；如第五章《采购需求》中没有★号条款要求的，则无需供应商提供材料。）</w:t>
            </w:r>
            <w:r/>
          </w:p>
        </w:tc>
      </w:tr>
      <w:tr>
        <w:trPr>
          <w:jc w:val="center"/>
          <w:trHeight w:val="685"/>
        </w:trPr>
        <w:tc>
          <w:tcPr>
            <w:tcW w:w="750" w:type="dxa"/>
            <w:vAlign w:val="center"/>
            <w:textDirection w:val="lrTb"/>
            <w:noWrap w:val="false"/>
          </w:tcPr>
          <w:p>
            <w:pPr>
              <w:ind w:left="199" w:hanging="199"/>
              <w:jc w:val="center"/>
              <w:widowControl/>
              <w:rPr>
                <w:rFonts w:ascii="宋体" w:hAnsi="宋体" w:cs="宋体"/>
                <w:szCs w:val="21"/>
                <w:highlight w:val="none"/>
              </w:rPr>
            </w:pPr>
            <w:r>
              <w:rPr>
                <w:rFonts w:hint="eastAsia" w:ascii="宋体" w:hAnsi="宋体" w:cs="宋体"/>
                <w:szCs w:val="21"/>
                <w:highlight w:val="none"/>
              </w:rPr>
              <w:t xml:space="preserve">9</w:t>
            </w:r>
            <w:r/>
          </w:p>
        </w:tc>
        <w:tc>
          <w:tcPr>
            <w:tcW w:w="1813"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分包承担主体资质（如有）</w:t>
            </w:r>
            <w:r/>
          </w:p>
        </w:tc>
        <w:tc>
          <w:tcPr>
            <w:tcW w:w="6108"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分包承担主体具备《投标人须知资料表》载明的资质条件且提供了资质证书（如有）；</w:t>
            </w:r>
            <w:r/>
          </w:p>
        </w:tc>
      </w:tr>
      <w:tr>
        <w:trPr>
          <w:jc w:val="center"/>
          <w:trHeight w:val="685"/>
        </w:trPr>
        <w:tc>
          <w:tcPr>
            <w:tcW w:w="750" w:type="dxa"/>
            <w:vAlign w:val="center"/>
            <w:textDirection w:val="lrTb"/>
            <w:noWrap w:val="false"/>
          </w:tcPr>
          <w:p>
            <w:pPr>
              <w:ind w:left="199" w:hanging="199"/>
              <w:jc w:val="center"/>
              <w:widowControl/>
              <w:rPr>
                <w:rFonts w:ascii="宋体" w:hAnsi="宋体" w:cs="宋体"/>
                <w:szCs w:val="21"/>
                <w:highlight w:val="none"/>
              </w:rPr>
            </w:pPr>
            <w:r>
              <w:rPr>
                <w:rFonts w:hint="eastAsia" w:ascii="宋体" w:hAnsi="宋体" w:cs="宋体"/>
                <w:szCs w:val="21"/>
                <w:highlight w:val="none"/>
              </w:rPr>
              <w:t xml:space="preserve">10</w:t>
            </w:r>
            <w:r/>
          </w:p>
        </w:tc>
        <w:tc>
          <w:tcPr>
            <w:tcW w:w="1813"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分包意向协议</w:t>
            </w:r>
            <w:r/>
          </w:p>
          <w:p>
            <w:pPr>
              <w:ind w:left="199" w:hanging="199"/>
              <w:jc w:val="left"/>
              <w:widowControl/>
              <w:rPr>
                <w:rFonts w:ascii="宋体" w:hAnsi="宋体" w:cs="宋体"/>
                <w:szCs w:val="21"/>
                <w:highlight w:val="none"/>
              </w:rPr>
            </w:pPr>
            <w:r>
              <w:rPr>
                <w:rFonts w:hint="eastAsia" w:ascii="宋体" w:hAnsi="宋体" w:cs="宋体"/>
                <w:szCs w:val="21"/>
                <w:highlight w:val="none"/>
              </w:rPr>
              <w:t xml:space="preserve">（如有）</w:t>
            </w:r>
            <w:r/>
          </w:p>
        </w:tc>
        <w:tc>
          <w:tcPr>
            <w:tcW w:w="6108"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按招标文件规定签订并提供分包意向协议原件；</w:t>
            </w:r>
            <w:r>
              <w:rPr>
                <w:rFonts w:hint="eastAsia" w:ascii="宋体" w:hAnsi="宋体" w:cs="宋体"/>
                <w:szCs w:val="21"/>
                <w:highlight w:val="none"/>
              </w:rPr>
              <w:t xml:space="preserve">（如有）</w:t>
            </w:r>
            <w:r/>
          </w:p>
        </w:tc>
      </w:tr>
      <w:tr>
        <w:trPr>
          <w:jc w:val="center"/>
          <w:trHeight w:val="685"/>
        </w:trPr>
        <w:tc>
          <w:tcPr>
            <w:tcW w:w="750" w:type="dxa"/>
            <w:vAlign w:val="center"/>
            <w:textDirection w:val="lrTb"/>
            <w:noWrap w:val="false"/>
          </w:tcPr>
          <w:p>
            <w:pPr>
              <w:ind w:left="199" w:hanging="199"/>
              <w:jc w:val="center"/>
              <w:widowControl/>
              <w:rPr>
                <w:rFonts w:ascii="宋体" w:hAnsi="宋体" w:cs="宋体"/>
                <w:szCs w:val="21"/>
                <w:highlight w:val="none"/>
              </w:rPr>
            </w:pPr>
            <w:r>
              <w:rPr>
                <w:rFonts w:hint="eastAsia" w:ascii="宋体" w:hAnsi="宋体" w:cs="宋体"/>
                <w:szCs w:val="21"/>
                <w:highlight w:val="none"/>
              </w:rPr>
              <w:t xml:space="preserve">11</w:t>
            </w:r>
            <w:r/>
          </w:p>
        </w:tc>
        <w:tc>
          <w:tcPr>
            <w:tcW w:w="1813"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报价的修正（如有）</w:t>
            </w:r>
            <w:r/>
          </w:p>
        </w:tc>
        <w:tc>
          <w:tcPr>
            <w:tcW w:w="6108"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不涉及报价修正，或投标文件报价出现前后不一致时，投标人对修正后的报价予以确认；（如有，由评委审查，无需供应商提供材料）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ascii="宋体" w:hAnsi="宋体" w:cs="宋体"/>
                <w:szCs w:val="21"/>
                <w:highlight w:val="none"/>
              </w:rPr>
            </w:pPr>
            <w:r>
              <w:rPr>
                <w:rFonts w:hint="eastAsia" w:ascii="宋体" w:hAnsi="宋体" w:cs="宋体"/>
                <w:szCs w:val="21"/>
                <w:highlight w:val="none"/>
              </w:rPr>
              <w:t xml:space="preserve">12</w:t>
            </w:r>
            <w:r/>
          </w:p>
        </w:tc>
        <w:tc>
          <w:tcPr>
            <w:tcW w:w="1813"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报价合理性</w:t>
            </w:r>
            <w:r/>
          </w:p>
        </w:tc>
        <w:tc>
          <w:tcPr>
            <w:tcW w:w="6108"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报价合理，或</w:t>
            </w:r>
            <w:r>
              <w:rPr>
                <w:rFonts w:hint="eastAsia" w:ascii="宋体" w:hAnsi="宋体" w:cs="宋体"/>
                <w:szCs w:val="21"/>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ascii="宋体" w:hAnsi="宋体" w:cs="宋体"/>
                <w:szCs w:val="21"/>
                <w:highlight w:val="none"/>
              </w:rPr>
            </w:pPr>
            <w:r>
              <w:rPr>
                <w:rFonts w:hint="eastAsia" w:ascii="宋体" w:hAnsi="宋体" w:cs="宋体"/>
                <w:szCs w:val="21"/>
                <w:highlight w:val="none"/>
              </w:rPr>
              <w:t xml:space="preserve">13</w:t>
            </w:r>
            <w:r/>
          </w:p>
        </w:tc>
        <w:tc>
          <w:tcPr>
            <w:tcW w:w="1813"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进口产品</w:t>
            </w:r>
            <w:r/>
          </w:p>
          <w:p>
            <w:pPr>
              <w:ind w:left="199" w:hanging="199"/>
              <w:jc w:val="left"/>
              <w:widowControl/>
              <w:rPr>
                <w:rFonts w:ascii="宋体" w:hAnsi="宋体" w:cs="宋体"/>
                <w:szCs w:val="21"/>
                <w:highlight w:val="none"/>
              </w:rPr>
            </w:pPr>
            <w:r>
              <w:rPr>
                <w:rFonts w:hint="eastAsia" w:ascii="宋体" w:hAnsi="宋体" w:cs="宋体"/>
                <w:szCs w:val="21"/>
                <w:highlight w:val="none"/>
              </w:rPr>
              <w:t xml:space="preserve">（如有）</w:t>
            </w:r>
            <w:r/>
          </w:p>
        </w:tc>
        <w:tc>
          <w:tcPr>
            <w:tcW w:w="6108"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招标文件不接受进口产品投标的内容时，投标人所投产品非进口产品的；</w:t>
            </w:r>
            <w:r>
              <w:rPr>
                <w:rFonts w:hint="eastAsia" w:ascii="宋体" w:hAnsi="宋体" w:cs="宋体"/>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ascii="宋体" w:hAnsi="宋体" w:cs="宋体"/>
                <w:szCs w:val="21"/>
                <w:highlight w:val="none"/>
              </w:rPr>
            </w:pPr>
            <w:r>
              <w:rPr>
                <w:rFonts w:hint="eastAsia" w:ascii="宋体" w:hAnsi="宋体" w:cs="宋体"/>
                <w:szCs w:val="21"/>
                <w:highlight w:val="none"/>
              </w:rPr>
              <w:t xml:space="preserve">14</w:t>
            </w:r>
            <w:r/>
          </w:p>
        </w:tc>
        <w:tc>
          <w:tcPr>
            <w:tcW w:w="1813"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国家有关部门对投标人的投标产品有强制性规定或要求的</w:t>
            </w:r>
            <w:r/>
          </w:p>
        </w:tc>
        <w:tc>
          <w:tcPr>
            <w:tcW w:w="6108"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国家有关部门对投标人的投标产品有强制性规定或要求的（如相应技术、安全、节能和环保等），投标人的投标产品应符合相应规定或要求，并提供证明文件：</w:t>
            </w:r>
            <w:r/>
          </w:p>
          <w:p>
            <w:pPr>
              <w:ind w:left="199" w:hanging="199"/>
              <w:jc w:val="left"/>
              <w:widowControl/>
              <w:rPr>
                <w:rFonts w:ascii="宋体" w:hAnsi="宋体" w:cs="宋体"/>
                <w:szCs w:val="21"/>
                <w:highlight w:val="none"/>
              </w:rPr>
            </w:pPr>
            <w:r>
              <w:rPr>
                <w:rFonts w:hint="eastAsia" w:ascii="宋体" w:hAnsi="宋体" w:cs="宋体"/>
                <w:szCs w:val="21"/>
                <w:highlight w:val="none"/>
              </w:rPr>
              <w:t xml:space="preserve">1）采购的产品若属于《节能产品政府采购品目清单》范围中政府强制采购产品，则投标人所报产品必须获得国家确定的认证机构出具的、处于有效期之内的节能产品认证证书；</w:t>
            </w:r>
            <w:r/>
          </w:p>
          <w:p>
            <w:pPr>
              <w:ind w:left="199" w:hanging="199"/>
              <w:jc w:val="left"/>
              <w:widowControl/>
              <w:rPr>
                <w:rFonts w:ascii="宋体" w:hAnsi="宋体" w:cs="宋体"/>
                <w:szCs w:val="21"/>
                <w:highlight w:val="none"/>
              </w:rPr>
            </w:pPr>
            <w:r>
              <w:rPr>
                <w:rFonts w:hint="eastAsia" w:ascii="宋体" w:hAnsi="宋体" w:cs="宋体"/>
                <w:szCs w:val="21"/>
                <w:highlight w:val="none"/>
              </w:rPr>
              <w:t xml:space="preserve">2）投标产品如涉及计算机信息系统安全专用产品的，须提供公安部颁发的计算机信息系统安全专用产品销售许可证；</w:t>
            </w:r>
            <w:r/>
          </w:p>
          <w:p>
            <w:pPr>
              <w:ind w:left="199" w:hanging="199"/>
              <w:jc w:val="left"/>
              <w:widowControl/>
              <w:rPr>
                <w:rFonts w:ascii="宋体" w:hAnsi="宋体" w:cs="宋体"/>
                <w:szCs w:val="21"/>
                <w:highlight w:val="none"/>
              </w:rPr>
            </w:pPr>
            <w:r>
              <w:rPr>
                <w:rFonts w:hint="eastAsia" w:ascii="宋体" w:hAnsi="宋体" w:cs="宋体"/>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p>
          <w:p>
            <w:pPr>
              <w:ind w:left="199" w:hanging="199"/>
              <w:jc w:val="left"/>
              <w:widowControl/>
              <w:rPr>
                <w:rFonts w:ascii="宋体" w:hAnsi="宋体" w:cs="宋体"/>
                <w:szCs w:val="21"/>
                <w:highlight w:val="none"/>
              </w:rPr>
            </w:pPr>
            <w:r>
              <w:rPr>
                <w:rFonts w:hint="eastAsia" w:ascii="宋体" w:hAnsi="宋体" w:cs="宋体"/>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750" w:type="dxa"/>
            <w:vAlign w:val="center"/>
            <w:textDirection w:val="lrTb"/>
            <w:noWrap w:val="false"/>
          </w:tcPr>
          <w:p>
            <w:pPr>
              <w:ind w:left="199" w:hanging="199"/>
              <w:jc w:val="center"/>
              <w:widowControl/>
              <w:rPr>
                <w:rFonts w:ascii="宋体" w:hAnsi="宋体" w:cs="宋体"/>
                <w:szCs w:val="21"/>
                <w:highlight w:val="none"/>
              </w:rPr>
            </w:pPr>
            <w:r>
              <w:rPr>
                <w:rFonts w:hint="eastAsia" w:ascii="宋体" w:hAnsi="宋体" w:cs="宋体"/>
                <w:szCs w:val="21"/>
                <w:highlight w:val="none"/>
              </w:rPr>
              <w:t xml:space="preserve">15</w:t>
            </w:r>
            <w:r/>
          </w:p>
        </w:tc>
        <w:tc>
          <w:tcPr>
            <w:tcW w:w="1813"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公平竞争</w:t>
            </w:r>
            <w:r/>
          </w:p>
        </w:tc>
        <w:tc>
          <w:tcPr>
            <w:tcW w:w="6108"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szCs w:val="21"/>
                <w:highlight w:val="none"/>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ascii="宋体" w:hAnsi="宋体" w:cs="宋体"/>
                <w:szCs w:val="21"/>
                <w:highlight w:val="none"/>
              </w:rPr>
            </w:pPr>
            <w:r>
              <w:rPr>
                <w:rFonts w:hint="eastAsia" w:ascii="宋体" w:hAnsi="宋体" w:cs="宋体"/>
                <w:szCs w:val="21"/>
                <w:highlight w:val="none"/>
              </w:rPr>
              <w:t xml:space="preserve">16</w:t>
            </w:r>
            <w:r/>
          </w:p>
        </w:tc>
        <w:tc>
          <w:tcPr>
            <w:tcW w:w="1813"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串通投标</w:t>
            </w:r>
            <w:r/>
          </w:p>
        </w:tc>
        <w:tc>
          <w:tcPr>
            <w:tcW w:w="6108"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750" w:type="dxa"/>
            <w:vAlign w:val="center"/>
            <w:textDirection w:val="lrTb"/>
            <w:noWrap w:val="false"/>
          </w:tcPr>
          <w:p>
            <w:pPr>
              <w:ind w:left="199" w:hanging="199"/>
              <w:jc w:val="center"/>
              <w:widowControl/>
              <w:rPr>
                <w:rFonts w:ascii="宋体" w:hAnsi="宋体" w:cs="宋体"/>
                <w:szCs w:val="21"/>
                <w:highlight w:val="none"/>
              </w:rPr>
            </w:pPr>
            <w:r>
              <w:rPr>
                <w:rFonts w:hint="eastAsia" w:ascii="宋体" w:hAnsi="宋体" w:cs="宋体"/>
                <w:szCs w:val="21"/>
                <w:highlight w:val="none"/>
              </w:rPr>
              <w:t xml:space="preserve">17</w:t>
            </w:r>
            <w:r/>
          </w:p>
        </w:tc>
        <w:tc>
          <w:tcPr>
            <w:tcW w:w="1813"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附加条件</w:t>
            </w:r>
            <w:r/>
          </w:p>
        </w:tc>
        <w:tc>
          <w:tcPr>
            <w:tcW w:w="6108"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投标文件未含有采购人不能接受的附加条件的；（由评委审查，无需供应商提供材料）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ascii="宋体" w:hAnsi="宋体" w:cs="宋体"/>
                <w:szCs w:val="21"/>
                <w:highlight w:val="none"/>
              </w:rPr>
            </w:pPr>
            <w:r>
              <w:rPr>
                <w:rFonts w:hint="eastAsia" w:ascii="宋体" w:hAnsi="宋体" w:cs="宋体"/>
                <w:szCs w:val="21"/>
                <w:highlight w:val="none"/>
              </w:rPr>
              <w:t xml:space="preserve">18</w:t>
            </w:r>
            <w:r/>
          </w:p>
        </w:tc>
        <w:tc>
          <w:tcPr>
            <w:tcW w:w="1813"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其他无效情形</w:t>
            </w:r>
            <w:r/>
          </w:p>
        </w:tc>
        <w:tc>
          <w:tcPr>
            <w:tcW w:w="6108" w:type="dxa"/>
            <w:vAlign w:val="center"/>
            <w:textDirection w:val="lrTb"/>
            <w:noWrap w:val="false"/>
          </w:tcPr>
          <w:p>
            <w:pPr>
              <w:ind w:left="199" w:hanging="199"/>
              <w:jc w:val="left"/>
              <w:widowControl/>
              <w:rPr>
                <w:rFonts w:ascii="宋体" w:hAnsi="宋体" w:cs="宋体"/>
                <w:szCs w:val="21"/>
                <w:highlight w:val="none"/>
              </w:rPr>
            </w:pPr>
            <w:r>
              <w:rPr>
                <w:rFonts w:hint="eastAsia" w:ascii="宋体" w:hAnsi="宋体" w:cs="宋体"/>
                <w:szCs w:val="21"/>
                <w:highlight w:val="none"/>
              </w:rPr>
              <w:t xml:space="preserve">投标人、投标文件不存在不符合法律、法规和招标文件规定的其他无效情形。</w:t>
            </w:r>
            <w:r>
              <w:rPr>
                <w:rFonts w:hint="eastAsia" w:ascii="宋体" w:hAnsi="宋体" w:cs="宋体"/>
                <w:szCs w:val="21"/>
                <w:highlight w:val="none"/>
              </w:rPr>
              <w:t xml:space="preserve">（由评委审查，无需供应商提供材料）</w:t>
            </w:r>
            <w:r/>
          </w:p>
        </w:tc>
      </w:tr>
    </w:tbl>
    <w:p>
      <w:pPr>
        <w:pStyle w:val="1038"/>
        <w:numPr>
          <w:ilvl w:val="0"/>
          <w:numId w:val="7"/>
        </w:numPr>
        <w:jc w:val="left"/>
        <w:spacing w:line="360" w:lineRule="auto"/>
        <w:rPr>
          <w:rFonts w:ascii="宋体" w:hAnsi="宋体" w:cs="宋体"/>
          <w:sz w:val="24"/>
          <w:highlight w:val="none"/>
        </w:rPr>
      </w:pPr>
      <w:r>
        <w:rPr>
          <w:rFonts w:hint="eastAsia" w:ascii="宋体" w:hAnsi="宋体" w:cs="宋体"/>
          <w:sz w:val="24"/>
          <w:highlight w:val="none"/>
        </w:rPr>
        <w:t xml:space="preserve">投标文件有关事项的澄清或者说明</w:t>
      </w:r>
      <w:r/>
    </w:p>
    <w:p>
      <w:pPr>
        <w:pStyle w:val="1038"/>
        <w:numPr>
          <w:ilvl w:val="1"/>
          <w:numId w:val="7"/>
        </w:numPr>
        <w:jc w:val="left"/>
        <w:spacing w:line="360" w:lineRule="auto"/>
        <w:rPr>
          <w:rFonts w:ascii="宋体" w:hAnsi="宋体" w:cs="宋体"/>
          <w:sz w:val="24"/>
          <w:highlight w:val="none"/>
        </w:rPr>
      </w:pPr>
      <w:r>
        <w:rPr>
          <w:rFonts w:hint="eastAsia" w:ascii="宋体" w:hAnsi="宋体" w:cs="宋体"/>
          <w:sz w:val="24"/>
          <w:highlight w:val="none"/>
        </w:rPr>
        <w:t xml:space="preserve">评标过程中，评标委员会将通过“苏采云”系统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 w:val="24"/>
          <w:szCs w:val="24"/>
          <w:highlight w:val="none"/>
        </w:rPr>
        <w:t xml:space="preserve">接到评标委员会澄清、说明和补正要求的投标人如未按规定做出澄清、说明和补正，其风险由投标人自行承担。</w:t>
      </w:r>
      <w:r/>
    </w:p>
    <w:p>
      <w:pPr>
        <w:pStyle w:val="1038"/>
        <w:numPr>
          <w:ilvl w:val="1"/>
          <w:numId w:val="7"/>
        </w:numPr>
        <w:jc w:val="left"/>
        <w:spacing w:line="360" w:lineRule="auto"/>
        <w:rPr>
          <w:rFonts w:ascii="宋体" w:hAnsi="宋体" w:cs="宋体"/>
          <w:sz w:val="24"/>
          <w:highlight w:val="none"/>
        </w:rPr>
      </w:pPr>
      <w:r>
        <w:rPr>
          <w:rFonts w:ascii="宋体" w:hAnsi="宋体" w:cs="宋体"/>
          <w:sz w:val="24"/>
          <w:highlight w:val="none"/>
        </w:rPr>
        <w:t xml:space="preserve">评审过程中出现下列情形之一的，</w:t>
      </w:r>
      <w:r>
        <w:rPr>
          <w:rFonts w:hint="eastAsia" w:ascii="宋体" w:hAnsi="宋体" w:cs="宋体"/>
          <w:sz w:val="24"/>
          <w:highlight w:val="none"/>
        </w:rPr>
        <w:t xml:space="preserve">评标委员会</w:t>
      </w:r>
      <w:r>
        <w:rPr>
          <w:rFonts w:ascii="宋体" w:hAnsi="宋体" w:cs="宋体"/>
          <w:sz w:val="24"/>
          <w:highlight w:val="none"/>
        </w:rPr>
        <w:t xml:space="preserve">应当启动异常低价投标审查</w:t>
      </w:r>
      <w:r>
        <w:rPr>
          <w:rFonts w:hint="eastAsia" w:ascii="宋体" w:hAnsi="宋体" w:cs="宋体"/>
          <w:sz w:val="24"/>
          <w:highlight w:val="none"/>
        </w:rPr>
        <w:t xml:space="preserve">程序：</w:t>
      </w:r>
      <w:r/>
    </w:p>
    <w:p>
      <w:pPr>
        <w:pStyle w:val="1038"/>
        <w:numPr>
          <w:ilvl w:val="2"/>
          <w:numId w:val="7"/>
        </w:numPr>
        <w:jc w:val="left"/>
        <w:spacing w:line="360" w:lineRule="auto"/>
        <w:rPr>
          <w:rFonts w:ascii="宋体" w:hAnsi="宋体" w:cs="宋体"/>
          <w:sz w:val="24"/>
          <w:highlight w:val="none"/>
        </w:rPr>
      </w:pPr>
      <w:r>
        <w:rPr>
          <w:rFonts w:ascii="宋体" w:hAnsi="宋体" w:cs="宋体"/>
          <w:sz w:val="24"/>
          <w:highlight w:val="none"/>
        </w:rPr>
        <w:t xml:space="preserve">投标报价低于采购项目预算50%的，即投标报价&lt;采购项目预算×50%；</w:t>
      </w:r>
      <w:r/>
    </w:p>
    <w:p>
      <w:pPr>
        <w:pStyle w:val="1038"/>
        <w:numPr>
          <w:ilvl w:val="2"/>
          <w:numId w:val="7"/>
        </w:numPr>
        <w:jc w:val="left"/>
        <w:spacing w:line="360" w:lineRule="auto"/>
        <w:rPr>
          <w:rFonts w:ascii="宋体" w:hAnsi="宋体" w:cs="宋体"/>
          <w:sz w:val="24"/>
          <w:highlight w:val="none"/>
        </w:rPr>
      </w:pPr>
      <w:r>
        <w:rPr>
          <w:rFonts w:ascii="宋体" w:hAnsi="宋体" w:cs="宋体"/>
          <w:sz w:val="24"/>
          <w:highlight w:val="none"/>
        </w:rPr>
        <w:t xml:space="preserve">投标报价低于采购项目最高限价45%的，即投标报价&lt;采购项目最高限价×45%；</w:t>
      </w:r>
      <w:r/>
    </w:p>
    <w:p>
      <w:pPr>
        <w:pStyle w:val="1038"/>
        <w:numPr>
          <w:ilvl w:val="2"/>
          <w:numId w:val="7"/>
        </w:numPr>
        <w:jc w:val="left"/>
        <w:spacing w:line="360" w:lineRule="auto"/>
        <w:rPr>
          <w:rFonts w:ascii="宋体" w:hAnsi="宋体" w:cs="宋体"/>
          <w:sz w:val="24"/>
          <w:highlight w:val="none"/>
        </w:rPr>
      </w:pPr>
      <w:r>
        <w:rPr>
          <w:rFonts w:hint="eastAsia" w:ascii="宋体" w:hAnsi="宋体" w:cs="宋体"/>
          <w:sz w:val="24"/>
          <w:highlight w:val="none"/>
        </w:rPr>
        <w:t xml:space="preserve">评标委员会</w:t>
      </w:r>
      <w:r>
        <w:rPr>
          <w:rFonts w:ascii="宋体" w:hAnsi="宋体" w:cs="宋体"/>
          <w:sz w:val="24"/>
          <w:highlight w:val="none"/>
        </w:rPr>
        <w:t xml:space="preserve">认定的供应商报价过低、有可能影响产品质量或者不能诚信履约的其他情形。</w:t>
      </w:r>
      <w:r/>
    </w:p>
    <w:p>
      <w:pPr>
        <w:pStyle w:val="1038"/>
        <w:ind w:left="284" w:firstLine="480"/>
        <w:jc w:val="left"/>
        <w:spacing w:line="360" w:lineRule="auto"/>
        <w:rPr>
          <w:rFonts w:ascii="宋体" w:hAnsi="宋体" w:cs="宋体"/>
          <w:sz w:val="24"/>
          <w:highlight w:val="none"/>
        </w:rPr>
      </w:pPr>
      <w:r>
        <w:rPr>
          <w:rFonts w:ascii="宋体" w:hAnsi="宋体" w:cs="宋体"/>
          <w:sz w:val="24"/>
          <w:highlight w:val="none"/>
        </w:rPr>
        <w:t xml:space="preserve">启动异常低价投标审查后，</w:t>
      </w:r>
      <w:r>
        <w:rPr>
          <w:rFonts w:hint="eastAsia" w:ascii="宋体" w:hAnsi="宋体" w:cs="宋体"/>
          <w:sz w:val="24"/>
          <w:highlight w:val="none"/>
        </w:rPr>
        <w:t xml:space="preserve">评标委员会</w:t>
      </w:r>
      <w:r>
        <w:rPr>
          <w:rFonts w:ascii="宋体" w:hAnsi="宋体" w:cs="宋体"/>
          <w:sz w:val="24"/>
          <w:highlight w:val="none"/>
        </w:rPr>
        <w:t xml:space="preserve">应当要求相关供应商在评标现场合理的时间内，提供项目具体成本测算等与报价合理性相关的书面说明及相关证明材料，对投标价格作出解释，由</w:t>
      </w:r>
      <w:r>
        <w:rPr>
          <w:rFonts w:hint="eastAsia" w:ascii="宋体" w:hAnsi="宋体" w:cs="宋体"/>
          <w:sz w:val="24"/>
          <w:highlight w:val="none"/>
        </w:rPr>
        <w:t xml:space="preserve">评标委员会</w:t>
      </w:r>
      <w:r>
        <w:rPr>
          <w:rFonts w:ascii="宋体" w:hAnsi="宋体" w:cs="宋体"/>
          <w:sz w:val="24"/>
          <w:highlight w:val="none"/>
        </w:rPr>
        <w:t xml:space="preserve">结合同类产品在主要电商平台的价格、该行业当地薪资水平等情况，依据专业经验对供应商报价合理性进行判断。投标供应商不提供书面说明、证明材料，或者提供的书面说明、证明材料不能证明其报价合理性的，</w:t>
      </w:r>
      <w:r>
        <w:rPr>
          <w:rFonts w:hint="eastAsia" w:ascii="宋体" w:hAnsi="宋体" w:cs="宋体"/>
          <w:sz w:val="24"/>
          <w:highlight w:val="none"/>
        </w:rPr>
        <w:t xml:space="preserve">评标委员会</w:t>
      </w:r>
      <w:r>
        <w:rPr>
          <w:rFonts w:ascii="宋体" w:hAnsi="宋体" w:cs="宋体"/>
          <w:sz w:val="24"/>
          <w:highlight w:val="none"/>
        </w:rPr>
        <w:t xml:space="preserve">应当将其作为</w:t>
      </w:r>
      <w:r>
        <w:rPr>
          <w:rFonts w:ascii="宋体" w:hAnsi="宋体" w:cs="宋体"/>
          <w:b/>
          <w:bCs/>
          <w:sz w:val="24"/>
          <w:highlight w:val="none"/>
        </w:rPr>
        <w:t xml:space="preserve">无效投标处理</w:t>
      </w:r>
      <w:r>
        <w:rPr>
          <w:rFonts w:ascii="宋体" w:hAnsi="宋体" w:cs="宋体"/>
          <w:sz w:val="24"/>
          <w:highlight w:val="none"/>
        </w:rPr>
        <w:t xml:space="preserve">。审查相关情况应当在评审报告中进行记录。</w:t>
      </w:r>
      <w:r/>
    </w:p>
    <w:p>
      <w:pPr>
        <w:pStyle w:val="1038"/>
        <w:numPr>
          <w:ilvl w:val="1"/>
          <w:numId w:val="7"/>
        </w:numPr>
        <w:jc w:val="left"/>
        <w:spacing w:line="360" w:lineRule="auto"/>
        <w:rPr>
          <w:rFonts w:ascii="宋体" w:hAnsi="宋体" w:cs="宋体"/>
          <w:sz w:val="24"/>
          <w:highlight w:val="none"/>
        </w:rPr>
      </w:pPr>
      <w:r>
        <w:rPr>
          <w:rFonts w:hint="eastAsia" w:ascii="宋体" w:hAnsi="宋体" w:cs="宋体"/>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highlight w:val="none"/>
        </w:rPr>
        <w:t xml:space="preserve">投标无效</w:t>
      </w:r>
      <w:r>
        <w:rPr>
          <w:rFonts w:hint="eastAsia" w:ascii="宋体" w:hAnsi="宋体" w:cs="宋体"/>
          <w:sz w:val="24"/>
          <w:highlight w:val="none"/>
        </w:rPr>
        <w:t xml:space="preserve">。</w:t>
      </w:r>
      <w:r/>
    </w:p>
    <w:p>
      <w:pPr>
        <w:pStyle w:val="1038"/>
        <w:numPr>
          <w:ilvl w:val="1"/>
          <w:numId w:val="7"/>
        </w:numPr>
        <w:jc w:val="left"/>
        <w:spacing w:line="360" w:lineRule="auto"/>
        <w:rPr>
          <w:rFonts w:ascii="宋体" w:hAnsi="宋体" w:cs="宋体"/>
          <w:sz w:val="24"/>
          <w:highlight w:val="none"/>
        </w:rPr>
      </w:pPr>
      <w:r>
        <w:rPr>
          <w:rFonts w:hint="eastAsia" w:ascii="宋体" w:hAnsi="宋体" w:cs="宋体"/>
          <w:sz w:val="24"/>
          <w:highlight w:val="none"/>
        </w:rPr>
        <w:t xml:space="preserve">投标文件报价出现前后不一致的，按照下列规定修正</w:t>
      </w:r>
      <w:r>
        <w:rPr>
          <w:rFonts w:hint="eastAsia" w:ascii="宋体" w:hAnsi="宋体" w:cs="宋体"/>
          <w:sz w:val="24"/>
          <w:highlight w:val="none"/>
        </w:rPr>
        <w:t xml:space="preserve">。</w:t>
      </w:r>
      <w:r/>
    </w:p>
    <w:p>
      <w:pPr>
        <w:pStyle w:val="1038"/>
        <w:numPr>
          <w:ilvl w:val="2"/>
          <w:numId w:val="7"/>
        </w:numPr>
        <w:jc w:val="left"/>
        <w:spacing w:line="360" w:lineRule="auto"/>
        <w:rPr>
          <w:rFonts w:ascii="宋体" w:hAnsi="宋体" w:cs="宋体"/>
          <w:sz w:val="24"/>
          <w:highlight w:val="none"/>
        </w:rPr>
      </w:pPr>
      <w:r>
        <w:rPr>
          <w:rFonts w:hint="eastAsia" w:ascii="宋体" w:hAnsi="宋体" w:cs="宋体"/>
          <w:sz w:val="24"/>
          <w:highlight w:val="none"/>
        </w:rPr>
        <w:t xml:space="preserve">招标文件对于报价修正是否另有规定：</w:t>
      </w:r>
      <w:r/>
    </w:p>
    <w:p>
      <w:pPr>
        <w:ind w:firstLine="9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□有，具体规定为：</w:t>
      </w:r>
      <w:r/>
    </w:p>
    <w:p>
      <w:pPr>
        <w:ind w:firstLine="960"/>
        <w:jc w:val="left"/>
        <w:spacing w:line="360" w:lineRule="auto"/>
        <w:rPr>
          <w:rFonts w:ascii="宋体" w:hAnsi="宋体" w:cs="宋体"/>
          <w:sz w:val="24"/>
          <w:highlight w:val="none"/>
        </w:rPr>
      </w:pPr>
      <w:r>
        <w:rPr>
          <w:rFonts w:hint="eastAsia" w:ascii="宋体" w:hAnsi="宋体" w:cs="宋体"/>
          <w:sz w:val="24"/>
          <w:szCs w:val="24"/>
          <w:highlight w:val="none"/>
        </w:rPr>
        <w:t xml:space="preserve">■无，按下述2.4.2.2—2.4.7项规定修正</w:t>
      </w:r>
      <w:r/>
    </w:p>
    <w:p>
      <w:pPr>
        <w:pStyle w:val="1038"/>
        <w:numPr>
          <w:ilvl w:val="2"/>
          <w:numId w:val="7"/>
        </w:numPr>
        <w:jc w:val="left"/>
        <w:spacing w:line="360" w:lineRule="auto"/>
        <w:rPr>
          <w:rFonts w:ascii="宋体" w:hAnsi="宋体" w:cs="宋体"/>
          <w:sz w:val="24"/>
          <w:highlight w:val="none"/>
        </w:rPr>
      </w:pPr>
      <w:r>
        <w:rPr>
          <w:rFonts w:hint="eastAsia" w:ascii="宋体" w:hAnsi="宋体" w:cs="宋体"/>
          <w:sz w:val="24"/>
          <w:highlight w:val="none"/>
        </w:rPr>
        <w:t xml:space="preserve">单独递交的开标一览表（报价表）与投标文件中开标一览表（报价表）内容不一致的，以单独递交的开标一览表（报价表）为准；</w:t>
      </w:r>
      <w:r/>
    </w:p>
    <w:p>
      <w:pPr>
        <w:pStyle w:val="1038"/>
        <w:numPr>
          <w:ilvl w:val="2"/>
          <w:numId w:val="7"/>
        </w:numPr>
        <w:jc w:val="left"/>
        <w:spacing w:line="360" w:lineRule="auto"/>
        <w:rPr>
          <w:rFonts w:ascii="宋体" w:hAnsi="宋体" w:cs="宋体"/>
          <w:sz w:val="24"/>
          <w:highlight w:val="none"/>
        </w:rPr>
      </w:pPr>
      <w:r>
        <w:rPr>
          <w:rFonts w:hint="eastAsia" w:ascii="宋体" w:hAnsi="宋体" w:cs="宋体"/>
          <w:sz w:val="24"/>
          <w:highlight w:val="none"/>
        </w:rPr>
        <w:t xml:space="preserve">投标文件中开标一览表（报价表）内容与投标文件中相应内容不一致的，以开标一览表（报价表）为准；</w:t>
      </w:r>
      <w:r/>
    </w:p>
    <w:p>
      <w:pPr>
        <w:pStyle w:val="1038"/>
        <w:numPr>
          <w:ilvl w:val="2"/>
          <w:numId w:val="7"/>
        </w:numPr>
        <w:jc w:val="left"/>
        <w:spacing w:line="360" w:lineRule="auto"/>
        <w:rPr>
          <w:rFonts w:ascii="宋体" w:hAnsi="宋体" w:cs="宋体"/>
          <w:sz w:val="24"/>
          <w:highlight w:val="none"/>
        </w:rPr>
      </w:pPr>
      <w:r>
        <w:rPr>
          <w:rFonts w:hint="eastAsia" w:ascii="宋体" w:hAnsi="宋体" w:cs="宋体"/>
          <w:sz w:val="24"/>
          <w:highlight w:val="none"/>
        </w:rPr>
        <w:t xml:space="preserve">大写金额和小写金额不一致的，以大写金额为准；</w:t>
      </w:r>
      <w:r/>
    </w:p>
    <w:p>
      <w:pPr>
        <w:pStyle w:val="1038"/>
        <w:numPr>
          <w:ilvl w:val="2"/>
          <w:numId w:val="7"/>
        </w:numPr>
        <w:jc w:val="left"/>
        <w:spacing w:line="360" w:lineRule="auto"/>
        <w:rPr>
          <w:rFonts w:ascii="宋体" w:hAnsi="宋体" w:cs="宋体"/>
          <w:sz w:val="24"/>
          <w:highlight w:val="none"/>
        </w:rPr>
      </w:pPr>
      <w:r>
        <w:rPr>
          <w:rFonts w:hint="eastAsia" w:ascii="宋体" w:hAnsi="宋体" w:cs="宋体"/>
          <w:sz w:val="24"/>
          <w:highlight w:val="none"/>
        </w:rPr>
        <w:t xml:space="preserve">单价金额小数点或者百分比有明显错位的，以开标一览表的总价为准，并修改单价；</w:t>
      </w:r>
      <w:r/>
    </w:p>
    <w:p>
      <w:pPr>
        <w:pStyle w:val="1038"/>
        <w:numPr>
          <w:ilvl w:val="2"/>
          <w:numId w:val="7"/>
        </w:numPr>
        <w:jc w:val="left"/>
        <w:spacing w:line="360" w:lineRule="auto"/>
        <w:rPr>
          <w:rFonts w:ascii="宋体" w:hAnsi="宋体" w:cs="宋体"/>
          <w:sz w:val="24"/>
          <w:highlight w:val="none"/>
        </w:rPr>
      </w:pPr>
      <w:r>
        <w:rPr>
          <w:rFonts w:hint="eastAsia" w:ascii="宋体" w:hAnsi="宋体" w:cs="宋体"/>
          <w:sz w:val="24"/>
          <w:highlight w:val="none"/>
        </w:rPr>
        <w:t xml:space="preserve">总价金额与按单价汇总金额不一致的，以单价金额计算结果为准；</w:t>
      </w:r>
      <w:r/>
    </w:p>
    <w:p>
      <w:pPr>
        <w:pStyle w:val="1038"/>
        <w:numPr>
          <w:ilvl w:val="2"/>
          <w:numId w:val="7"/>
        </w:numPr>
        <w:jc w:val="left"/>
        <w:spacing w:line="360" w:lineRule="auto"/>
        <w:rPr>
          <w:rFonts w:ascii="宋体" w:hAnsi="宋体" w:cs="宋体"/>
          <w:sz w:val="24"/>
          <w:highlight w:val="none"/>
        </w:rPr>
      </w:pPr>
      <w:r>
        <w:rPr>
          <w:rFonts w:hint="eastAsia" w:ascii="宋体" w:hAnsi="宋体" w:cs="宋体"/>
          <w:sz w:val="24"/>
          <w:highlight w:val="none"/>
        </w:rPr>
        <w:t xml:space="preserve">同时出现两种以上不一致的，按照前款规定的顺序修正。评标委员会</w:t>
      </w:r>
      <w:r>
        <w:rPr>
          <w:rFonts w:hint="eastAsia" w:ascii="宋体" w:hAnsi="宋体" w:cs="宋体"/>
          <w:bCs/>
          <w:sz w:val="24"/>
          <w:highlight w:val="none"/>
        </w:rPr>
        <w:t xml:space="preserve">将按上述修正错误的方法调整投标文件中的投标报价，并通过“</w:t>
      </w:r>
      <w:r>
        <w:rPr>
          <w:rFonts w:hint="eastAsia" w:ascii="宋体" w:hAnsi="宋体" w:cs="宋体"/>
          <w:sz w:val="24"/>
          <w:szCs w:val="24"/>
          <w:highlight w:val="none"/>
        </w:rPr>
        <w:t xml:space="preserve">苏采云”系统</w:t>
      </w:r>
      <w:r>
        <w:rPr>
          <w:rFonts w:hint="eastAsia" w:ascii="宋体" w:hAnsi="宋体" w:cs="宋体"/>
          <w:bCs/>
          <w:sz w:val="24"/>
          <w:highlight w:val="none"/>
        </w:rPr>
        <w:t xml:space="preserve">告知投标人，</w:t>
      </w:r>
      <w:r>
        <w:rPr>
          <w:rFonts w:hint="eastAsia" w:ascii="宋体" w:hAnsi="宋体" w:cs="宋体"/>
          <w:sz w:val="24"/>
          <w:highlight w:val="none"/>
        </w:rPr>
        <w:t xml:space="preserve">修正后的报价经投标人书面确认后产生约束力，投标人不确认的，其</w:t>
      </w:r>
      <w:r>
        <w:rPr>
          <w:rFonts w:hint="eastAsia" w:ascii="宋体" w:hAnsi="宋体" w:cs="宋体"/>
          <w:b/>
          <w:sz w:val="24"/>
          <w:highlight w:val="none"/>
        </w:rPr>
        <w:t xml:space="preserve">投标无效；</w:t>
      </w:r>
      <w:r/>
    </w:p>
    <w:p>
      <w:pPr>
        <w:pStyle w:val="1038"/>
        <w:numPr>
          <w:ilvl w:val="1"/>
          <w:numId w:val="7"/>
        </w:numPr>
        <w:jc w:val="left"/>
        <w:spacing w:line="360" w:lineRule="auto"/>
        <w:rPr>
          <w:rFonts w:ascii="宋体" w:hAnsi="宋体" w:cs="宋体"/>
          <w:sz w:val="24"/>
          <w:highlight w:val="none"/>
        </w:rPr>
      </w:pPr>
      <w:r>
        <w:rPr>
          <w:rFonts w:hint="eastAsia" w:ascii="宋体" w:hAnsi="宋体" w:cs="宋体"/>
          <w:sz w:val="24"/>
          <w:highlight w:val="none"/>
        </w:rPr>
        <w:t xml:space="preserve">落实政府采购政策的价格调整：只有符合第二章《投标人须知》5.2条规定情形的，可以享受中小企业扶持政策，用扣除后的价格参加评审；否则，评标时价格不予扣除。</w:t>
      </w:r>
      <w:r/>
    </w:p>
    <w:p>
      <w:pPr>
        <w:pStyle w:val="1038"/>
        <w:numPr>
          <w:ilvl w:val="2"/>
          <w:numId w:val="7"/>
        </w:numPr>
        <w:jc w:val="left"/>
        <w:spacing w:line="360" w:lineRule="auto"/>
        <w:rPr>
          <w:rFonts w:ascii="宋体" w:hAnsi="宋体" w:cs="宋体"/>
          <w:sz w:val="24"/>
          <w:highlight w:val="none"/>
        </w:rPr>
      </w:pPr>
      <w:r>
        <w:rPr>
          <w:rFonts w:hint="eastAsia" w:ascii="宋体" w:hAnsi="宋体" w:cs="宋体"/>
          <w:sz w:val="24"/>
          <w:highlight w:val="none"/>
        </w:rPr>
        <w:t xml:space="preserve">对于未预留份额专门面向中小企业采购的采购项目，以及预留份额项目中的非预留部分采购包，对小微企业报价给予20%（工程项目为5%）的扣除，用扣除后的价格参加评审。</w:t>
      </w:r>
      <w:r/>
    </w:p>
    <w:p>
      <w:pPr>
        <w:pStyle w:val="1038"/>
        <w:numPr>
          <w:ilvl w:val="2"/>
          <w:numId w:val="7"/>
        </w:numPr>
        <w:jc w:val="left"/>
        <w:spacing w:line="360" w:lineRule="auto"/>
        <w:rPr>
          <w:rFonts w:ascii="宋体" w:hAnsi="宋体" w:cs="宋体"/>
          <w:sz w:val="24"/>
          <w:highlight w:val="none"/>
        </w:rPr>
      </w:pPr>
      <w:r>
        <w:rPr>
          <w:rFonts w:hint="eastAsia" w:ascii="宋体" w:hAnsi="宋体" w:cs="宋体"/>
          <w:sz w:val="24"/>
          <w:highlight w:val="none"/>
        </w:rPr>
        <w:t xml:space="preserve">对于未预留份额专门面向中小企业采购的采购项目，以及预留份额项目中的非预留部分采购包，且接受大中型企业与</w:t>
      </w:r>
      <w:r>
        <w:rPr>
          <w:rFonts w:hint="eastAsia" w:ascii="宋体" w:hAnsi="宋体" w:cs="宋体"/>
          <w:b/>
          <w:sz w:val="24"/>
          <w:highlight w:val="none"/>
        </w:rPr>
        <w:t xml:space="preserve">小微企业</w:t>
      </w:r>
      <w:r>
        <w:rPr>
          <w:rFonts w:hint="eastAsia" w:ascii="宋体" w:hAnsi="宋体" w:cs="宋体"/>
          <w:sz w:val="24"/>
          <w:highlight w:val="none"/>
        </w:rPr>
        <w:t xml:space="preserve">组成联合体或者允许大中型企业向一家或者多家</w:t>
      </w:r>
      <w:r>
        <w:rPr>
          <w:rFonts w:hint="eastAsia" w:ascii="宋体" w:hAnsi="宋体" w:cs="宋体"/>
          <w:b/>
          <w:sz w:val="24"/>
          <w:highlight w:val="none"/>
        </w:rPr>
        <w:t xml:space="preserve">小微企业</w:t>
      </w:r>
      <w:r>
        <w:rPr>
          <w:rFonts w:hint="eastAsia" w:ascii="宋体" w:hAnsi="宋体" w:cs="宋体"/>
          <w:sz w:val="24"/>
          <w:highlight w:val="none"/>
        </w:rPr>
        <w:t xml:space="preserve">分包的采购项目，对于联合协议或者分包意向协议约定</w:t>
      </w:r>
      <w:r>
        <w:rPr>
          <w:rFonts w:hint="eastAsia" w:ascii="宋体" w:hAnsi="宋体" w:cs="宋体"/>
          <w:b/>
          <w:sz w:val="24"/>
          <w:highlight w:val="none"/>
        </w:rPr>
        <w:t xml:space="preserve">小微企业</w:t>
      </w:r>
      <w:r>
        <w:rPr>
          <w:rFonts w:hint="eastAsia" w:ascii="宋体" w:hAnsi="宋体" w:cs="宋体"/>
          <w:sz w:val="24"/>
          <w:highlight w:val="none"/>
        </w:rPr>
        <w:t xml:space="preserve">的合同份额占到合同总金额 30%以上的联合体或者大中型企业的报价给予</w:t>
      </w:r>
      <w:r>
        <w:rPr>
          <w:rFonts w:hint="eastAsia" w:ascii="宋体" w:hAnsi="宋体" w:cs="宋体"/>
          <w:sz w:val="24"/>
          <w:highlight w:val="none"/>
          <w:u w:val="single"/>
        </w:rPr>
        <w:t xml:space="preserve">3</w:t>
      </w:r>
      <w:r>
        <w:rPr>
          <w:rFonts w:hint="eastAsia" w:ascii="宋体" w:hAnsi="宋体" w:cs="宋体"/>
          <w:sz w:val="24"/>
          <w:highlight w:val="none"/>
        </w:rPr>
        <w:t xml:space="preserve">%的扣除，用扣除后的价格参加评审。</w:t>
      </w:r>
      <w:r/>
    </w:p>
    <w:p>
      <w:pPr>
        <w:pStyle w:val="1038"/>
        <w:numPr>
          <w:ilvl w:val="2"/>
          <w:numId w:val="7"/>
        </w:numPr>
        <w:jc w:val="left"/>
        <w:spacing w:line="360" w:lineRule="auto"/>
        <w:rPr>
          <w:rFonts w:ascii="宋体" w:hAnsi="宋体" w:cs="宋体"/>
          <w:sz w:val="24"/>
          <w:highlight w:val="none"/>
        </w:rPr>
      </w:pPr>
      <w:r>
        <w:rPr>
          <w:rFonts w:hint="eastAsia" w:ascii="宋体" w:hAnsi="宋体" w:cs="宋体"/>
          <w:sz w:val="24"/>
          <w:highlight w:val="none"/>
        </w:rPr>
        <w:t xml:space="preserve">组成联合体或者接受分包的小微企业与联合体内其他企业、分包企业之间存在直接控股、管理关系的，不享受价格扣除优惠政策。</w:t>
      </w:r>
      <w:r/>
    </w:p>
    <w:p>
      <w:pPr>
        <w:pStyle w:val="1038"/>
        <w:numPr>
          <w:ilvl w:val="2"/>
          <w:numId w:val="7"/>
        </w:numPr>
        <w:jc w:val="left"/>
        <w:spacing w:line="360" w:lineRule="auto"/>
        <w:rPr>
          <w:rFonts w:ascii="宋体" w:hAnsi="宋体" w:cs="宋体"/>
          <w:sz w:val="24"/>
          <w:highlight w:val="none"/>
        </w:rPr>
      </w:pPr>
      <w:r>
        <w:rPr>
          <w:rFonts w:hint="eastAsia" w:ascii="宋体" w:hAnsi="宋体" w:cs="宋体"/>
          <w:sz w:val="24"/>
          <w:highlight w:val="none"/>
        </w:rPr>
        <w:t xml:space="preserve">价格扣除比例对小型企业和微型企业同等对待，不作区分。</w:t>
      </w:r>
      <w:r/>
    </w:p>
    <w:p>
      <w:pPr>
        <w:pStyle w:val="1038"/>
        <w:numPr>
          <w:ilvl w:val="2"/>
          <w:numId w:val="7"/>
        </w:numPr>
        <w:jc w:val="left"/>
        <w:spacing w:line="360" w:lineRule="auto"/>
        <w:rPr>
          <w:rFonts w:ascii="宋体" w:hAnsi="宋体" w:cs="宋体"/>
          <w:sz w:val="24"/>
          <w:highlight w:val="none"/>
        </w:rPr>
      </w:pPr>
      <w:r>
        <w:rPr>
          <w:rFonts w:hint="eastAsia" w:ascii="宋体" w:hAnsi="宋体" w:cs="宋体"/>
          <w:sz w:val="24"/>
          <w:highlight w:val="none"/>
        </w:rPr>
        <w:t xml:space="preserve">中小企业参加政府采购活动，应当按照招标文件给定的格式出具《中小企业声明函》，否则不得享受相关中小企业扶持政策。</w:t>
      </w:r>
      <w:r/>
    </w:p>
    <w:p>
      <w:pPr>
        <w:pStyle w:val="1038"/>
        <w:numPr>
          <w:ilvl w:val="2"/>
          <w:numId w:val="7"/>
        </w:numPr>
        <w:jc w:val="left"/>
        <w:spacing w:line="360" w:lineRule="auto"/>
        <w:rPr>
          <w:rFonts w:ascii="宋体" w:hAnsi="宋体" w:cs="宋体"/>
          <w:sz w:val="24"/>
          <w:highlight w:val="none"/>
        </w:rPr>
      </w:pPr>
      <w:r>
        <w:rPr>
          <w:rFonts w:hint="eastAsia" w:ascii="宋体" w:hAnsi="宋体" w:cs="宋体"/>
          <w:sz w:val="24"/>
          <w:highlight w:val="none"/>
        </w:rPr>
        <w:t xml:space="preserve">监狱企业提供了由省级以上监狱管理局（常州市含教育矫治局）、戒毒管理局（含新疆生产建设兵团）出具的属于监狱企业的证明文件的，视同小微企业。</w:t>
      </w:r>
      <w:r/>
    </w:p>
    <w:p>
      <w:pPr>
        <w:pStyle w:val="1038"/>
        <w:numPr>
          <w:ilvl w:val="2"/>
          <w:numId w:val="7"/>
        </w:numPr>
        <w:jc w:val="left"/>
        <w:spacing w:line="360" w:lineRule="auto"/>
        <w:rPr>
          <w:rFonts w:ascii="宋体" w:hAnsi="宋体" w:cs="宋体"/>
          <w:sz w:val="24"/>
          <w:highlight w:val="none"/>
        </w:rPr>
      </w:pPr>
      <w:r>
        <w:rPr>
          <w:rFonts w:hint="eastAsia" w:ascii="宋体" w:hAnsi="宋体" w:cs="宋体"/>
          <w:sz w:val="24"/>
          <w:highlight w:val="none"/>
        </w:rPr>
        <w:t xml:space="preserve">残疾人福利性单位按招标文件要求提供了《残疾人福利性单位声明函》（见附件）的，视同小微企业。</w:t>
      </w:r>
      <w:r/>
    </w:p>
    <w:p>
      <w:pPr>
        <w:pStyle w:val="1038"/>
        <w:numPr>
          <w:ilvl w:val="2"/>
          <w:numId w:val="7"/>
        </w:numPr>
        <w:jc w:val="left"/>
        <w:spacing w:line="360" w:lineRule="auto"/>
        <w:rPr>
          <w:rFonts w:ascii="宋体" w:hAnsi="宋体" w:cs="宋体"/>
          <w:sz w:val="24"/>
          <w:highlight w:val="none"/>
        </w:rPr>
      </w:pPr>
      <w:r>
        <w:rPr>
          <w:rFonts w:hint="eastAsia" w:ascii="宋体" w:hAnsi="宋体" w:cs="宋体"/>
          <w:sz w:val="24"/>
          <w:highlight w:val="none"/>
        </w:rPr>
        <w:t xml:space="preserve">若投标人同时属于小型或微型企业、监狱企业、残疾人福利性单位中的两种及以上，将不重复享受小微企业价格扣减的优惠政策。</w:t>
      </w:r>
      <w:r/>
    </w:p>
    <w:p>
      <w:pPr>
        <w:pStyle w:val="1038"/>
        <w:numPr>
          <w:ilvl w:val="0"/>
          <w:numId w:val="7"/>
        </w:numPr>
        <w:jc w:val="left"/>
        <w:spacing w:line="360" w:lineRule="auto"/>
        <w:rPr>
          <w:rFonts w:ascii="宋体" w:hAnsi="宋体" w:cs="宋体"/>
          <w:sz w:val="24"/>
          <w:highlight w:val="none"/>
        </w:rPr>
      </w:pPr>
      <w:r>
        <w:rPr>
          <w:rFonts w:hint="eastAsia" w:ascii="宋体" w:hAnsi="宋体" w:cs="宋体"/>
          <w:sz w:val="24"/>
          <w:highlight w:val="none"/>
        </w:rPr>
        <w:t xml:space="preserve">投标文件的比较和评价</w:t>
      </w:r>
      <w:r>
        <w:rPr>
          <w:rFonts w:hint="eastAsia" w:ascii="宋体" w:hAnsi="宋体" w:cs="宋体"/>
          <w:b/>
          <w:sz w:val="24"/>
          <w:highlight w:val="none"/>
        </w:rPr>
        <w:t xml:space="preserve">：</w:t>
      </w:r>
      <w:r/>
    </w:p>
    <w:p>
      <w:pPr>
        <w:pStyle w:val="1038"/>
        <w:numPr>
          <w:ilvl w:val="1"/>
          <w:numId w:val="7"/>
        </w:numPr>
        <w:jc w:val="left"/>
        <w:spacing w:line="360" w:lineRule="auto"/>
        <w:rPr>
          <w:rFonts w:ascii="宋体" w:hAnsi="宋体" w:cs="宋体"/>
          <w:sz w:val="24"/>
          <w:highlight w:val="none"/>
        </w:rPr>
      </w:pPr>
      <w:r>
        <w:rPr>
          <w:rFonts w:hint="eastAsia" w:ascii="宋体" w:hAnsi="宋体" w:cs="宋体"/>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38"/>
        <w:numPr>
          <w:ilvl w:val="1"/>
          <w:numId w:val="7"/>
        </w:numPr>
        <w:jc w:val="left"/>
        <w:spacing w:line="360" w:lineRule="auto"/>
        <w:rPr>
          <w:rFonts w:ascii="宋体" w:hAnsi="宋体" w:cs="宋体"/>
          <w:sz w:val="24"/>
          <w:highlight w:val="none"/>
        </w:rPr>
      </w:pPr>
      <w:r>
        <w:rPr>
          <w:rFonts w:hint="eastAsia" w:ascii="宋体" w:hAnsi="宋体" w:cs="宋体"/>
          <w:sz w:val="24"/>
          <w:highlight w:val="none"/>
        </w:rPr>
        <w:t xml:space="preserve">评标方法和评标标准；</w:t>
      </w:r>
      <w:r/>
    </w:p>
    <w:p>
      <w:pPr>
        <w:pStyle w:val="1038"/>
        <w:numPr>
          <w:ilvl w:val="2"/>
          <w:numId w:val="7"/>
        </w:numPr>
        <w:jc w:val="left"/>
        <w:spacing w:line="360" w:lineRule="auto"/>
        <w:rPr>
          <w:rFonts w:ascii="宋体" w:hAnsi="宋体" w:cs="宋体"/>
          <w:sz w:val="24"/>
          <w:highlight w:val="none"/>
        </w:rPr>
      </w:pPr>
      <w:r>
        <w:rPr>
          <w:rFonts w:hint="eastAsia" w:ascii="宋体" w:hAnsi="宋体" w:cs="宋体"/>
          <w:sz w:val="24"/>
          <w:highlight w:val="none"/>
        </w:rPr>
        <w:t xml:space="preserve">本项目采用的评标方法为：</w:t>
      </w:r>
      <w:r/>
    </w:p>
    <w:p>
      <w:pPr>
        <w:ind w:left="1134" w:firstLine="240"/>
        <w:jc w:val="left"/>
        <w:spacing w:line="360" w:lineRule="auto"/>
        <w:rPr>
          <w:rFonts w:ascii="宋体" w:hAnsi="宋体" w:cs="宋体"/>
          <w:sz w:val="24"/>
          <w:highlight w:val="none"/>
        </w:rPr>
      </w:pPr>
      <w:r>
        <w:rPr>
          <w:rFonts w:hint="eastAsia" w:ascii="宋体" w:hAnsi="宋体" w:cs="宋体"/>
          <w:sz w:val="24"/>
          <w:szCs w:val="24"/>
          <w:highlight w:val="none"/>
        </w:rPr>
        <w:t xml:space="preserve">■</w:t>
      </w:r>
      <w:r>
        <w:rPr>
          <w:rFonts w:hint="eastAsia" w:ascii="宋体" w:hAnsi="宋体" w:cs="宋体"/>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134" w:firstLine="240"/>
        <w:jc w:val="left"/>
        <w:spacing w:line="360" w:lineRule="auto"/>
        <w:rPr>
          <w:rFonts w:ascii="宋体" w:hAnsi="宋体" w:cs="宋体"/>
          <w:sz w:val="24"/>
          <w:highlight w:val="none"/>
        </w:rPr>
      </w:pPr>
      <w:r>
        <w:rPr>
          <w:rFonts w:hint="eastAsia" w:ascii="宋体" w:hAnsi="宋体" w:cs="宋体"/>
          <w:sz w:val="24"/>
          <w:szCs w:val="24"/>
          <w:highlight w:val="none"/>
        </w:rPr>
        <w:t xml:space="preserve">□</w:t>
      </w:r>
      <w:r>
        <w:rPr>
          <w:rFonts w:hint="eastAsia" w:ascii="宋体" w:hAnsi="宋体" w:cs="宋体"/>
          <w:sz w:val="24"/>
          <w:highlight w:val="none"/>
        </w:rPr>
        <w:t xml:space="preserve">最低评标价法，指投标文件满足招标文件全部实质性要求，且投标报价最低的投标人为中标候选人的评标方法。</w:t>
      </w:r>
      <w:r/>
    </w:p>
    <w:p>
      <w:pPr>
        <w:pStyle w:val="1038"/>
        <w:numPr>
          <w:ilvl w:val="2"/>
          <w:numId w:val="7"/>
        </w:numPr>
        <w:jc w:val="left"/>
        <w:spacing w:line="360" w:lineRule="auto"/>
        <w:rPr>
          <w:rFonts w:ascii="宋体" w:hAnsi="宋体" w:cs="宋体"/>
          <w:sz w:val="24"/>
          <w:highlight w:val="none"/>
        </w:rPr>
      </w:pPr>
      <w:r>
        <w:rPr>
          <w:rFonts w:hint="eastAsia" w:ascii="宋体" w:hAnsi="宋体" w:cs="宋体"/>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highlight w:val="none"/>
        </w:rPr>
        <w:t xml:space="preserve">投标无效。</w:t>
      </w:r>
      <w:r/>
    </w:p>
    <w:p>
      <w:pPr>
        <w:pStyle w:val="1038"/>
        <w:numPr>
          <w:ilvl w:val="2"/>
          <w:numId w:val="7"/>
        </w:numPr>
        <w:jc w:val="left"/>
        <w:spacing w:line="360" w:lineRule="auto"/>
        <w:rPr>
          <w:rFonts w:ascii="宋体" w:hAnsi="宋体" w:cs="宋体"/>
          <w:sz w:val="24"/>
          <w:highlight w:val="none"/>
        </w:rPr>
      </w:pPr>
      <w:r>
        <w:rPr>
          <w:rFonts w:hint="eastAsia" w:ascii="宋体" w:hAnsi="宋体" w:cs="宋体"/>
          <w:sz w:val="24"/>
          <w:highlight w:val="none"/>
        </w:rPr>
        <w:t xml:space="preserve">非政府强制采购的节能产品或环境标志产品，依据品目清单和认证证书实施政府优先采购。优先采购的具体规定（如涉及）</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pStyle w:val="1038"/>
        <w:numPr>
          <w:ilvl w:val="2"/>
          <w:numId w:val="7"/>
        </w:numPr>
        <w:jc w:val="left"/>
        <w:spacing w:line="360" w:lineRule="auto"/>
        <w:rPr>
          <w:rFonts w:ascii="宋体" w:hAnsi="宋体" w:cs="宋体"/>
          <w:sz w:val="24"/>
          <w:highlight w:val="none"/>
        </w:rPr>
      </w:pPr>
      <w:r>
        <w:rPr>
          <w:rFonts w:hint="eastAsia" w:ascii="宋体" w:hAnsi="宋体" w:cs="宋体"/>
          <w:sz w:val="24"/>
          <w:highlight w:val="none"/>
        </w:rPr>
        <w:t xml:space="preserve">关于无线局域网认证产品政府采购清单中的产品，优先采购的具体规定（如涉及）</w:t>
      </w:r>
      <w:r>
        <w:rPr>
          <w:rFonts w:hint="eastAsia" w:ascii="宋体" w:hAnsi="宋体" w:cs="宋体"/>
          <w:sz w:val="24"/>
          <w:highlight w:val="none"/>
          <w:u w:val="single"/>
        </w:rPr>
        <w:t xml:space="preserve">  /  </w:t>
      </w:r>
      <w:r>
        <w:rPr>
          <w:rFonts w:hint="eastAsia" w:ascii="宋体" w:hAnsi="宋体" w:cs="宋体"/>
          <w:sz w:val="24"/>
          <w:highlight w:val="none"/>
        </w:rPr>
        <w:t xml:space="preserve">。</w:t>
      </w:r>
      <w:r/>
    </w:p>
    <w:p>
      <w:pPr>
        <w:pStyle w:val="1038"/>
        <w:numPr>
          <w:ilvl w:val="0"/>
          <w:numId w:val="7"/>
        </w:numPr>
        <w:jc w:val="left"/>
        <w:spacing w:line="360" w:lineRule="auto"/>
        <w:rPr>
          <w:rFonts w:ascii="宋体" w:hAnsi="宋体" w:cs="宋体"/>
          <w:sz w:val="24"/>
          <w:highlight w:val="none"/>
        </w:rPr>
      </w:pPr>
      <w:r>
        <w:rPr>
          <w:rFonts w:hint="eastAsia" w:ascii="宋体" w:hAnsi="宋体" w:cs="宋体"/>
          <w:sz w:val="24"/>
          <w:highlight w:val="none"/>
        </w:rPr>
        <w:t xml:space="preserve">确定中标候选人名单</w:t>
      </w:r>
      <w:r/>
    </w:p>
    <w:p>
      <w:pPr>
        <w:pStyle w:val="1038"/>
        <w:numPr>
          <w:ilvl w:val="1"/>
          <w:numId w:val="7"/>
        </w:numPr>
        <w:jc w:val="left"/>
        <w:spacing w:line="360" w:lineRule="auto"/>
        <w:rPr>
          <w:rFonts w:ascii="宋体" w:hAnsi="宋体" w:cs="宋体"/>
          <w:sz w:val="24"/>
          <w:highlight w:val="none"/>
        </w:rPr>
      </w:pPr>
      <w:r>
        <w:rPr>
          <w:rFonts w:hint="eastAsia" w:ascii="宋体" w:hAnsi="宋体" w:cs="宋体"/>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left="1134" w:firstLine="240"/>
        <w:jc w:val="left"/>
        <w:spacing w:line="360" w:lineRule="auto"/>
        <w:rPr>
          <w:rFonts w:ascii="宋体" w:hAnsi="宋体" w:cs="宋体"/>
          <w:sz w:val="24"/>
          <w:highlight w:val="none"/>
        </w:rPr>
      </w:pPr>
      <w:r>
        <w:rPr>
          <w:rFonts w:hint="eastAsia" w:ascii="宋体" w:hAnsi="宋体" w:cs="宋体"/>
          <w:sz w:val="24"/>
          <w:szCs w:val="24"/>
          <w:highlight w:val="none"/>
        </w:rPr>
        <w:t xml:space="preserve">■</w:t>
      </w:r>
      <w:r>
        <w:rPr>
          <w:rFonts w:hint="eastAsia" w:ascii="宋体" w:hAnsi="宋体" w:cs="宋体"/>
          <w:sz w:val="24"/>
          <w:highlight w:val="none"/>
        </w:rPr>
        <w:t xml:space="preserve">随机抽取</w:t>
      </w:r>
      <w:r/>
    </w:p>
    <w:p>
      <w:pPr>
        <w:ind w:left="1134" w:firstLine="240"/>
        <w:jc w:val="left"/>
        <w:spacing w:line="360" w:lineRule="auto"/>
        <w:rPr>
          <w:rFonts w:ascii="宋体" w:hAnsi="宋体" w:cs="宋体"/>
          <w:sz w:val="24"/>
          <w:highlight w:val="none"/>
        </w:rPr>
      </w:pPr>
      <w:r>
        <w:rPr>
          <w:rFonts w:hint="eastAsia" w:ascii="宋体" w:hAnsi="宋体" w:cs="宋体"/>
          <w:sz w:val="24"/>
          <w:szCs w:val="24"/>
          <w:highlight w:val="none"/>
        </w:rPr>
        <w:t xml:space="preserve">□</w:t>
      </w:r>
      <w:r>
        <w:rPr>
          <w:rFonts w:hint="eastAsia" w:ascii="宋体" w:hAnsi="宋体" w:cs="宋体"/>
          <w:sz w:val="24"/>
          <w:highlight w:val="none"/>
        </w:rPr>
        <w:t xml:space="preserve">其他方式，具体要求：_____</w:t>
      </w:r>
      <w:r/>
    </w:p>
    <w:p>
      <w:pPr>
        <w:pStyle w:val="1038"/>
        <w:numPr>
          <w:ilvl w:val="1"/>
          <w:numId w:val="7"/>
        </w:numPr>
        <w:jc w:val="left"/>
        <w:spacing w:line="360" w:lineRule="auto"/>
        <w:rPr>
          <w:rFonts w:ascii="宋体" w:hAnsi="宋体" w:cs="宋体"/>
          <w:sz w:val="24"/>
          <w:highlight w:val="none"/>
        </w:rPr>
      </w:pPr>
      <w:r>
        <w:rPr>
          <w:rFonts w:hint="eastAsia" w:ascii="宋体" w:hAnsi="宋体" w:cs="宋体"/>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038"/>
        <w:numPr>
          <w:ilvl w:val="1"/>
          <w:numId w:val="7"/>
        </w:numPr>
        <w:jc w:val="left"/>
        <w:spacing w:line="360" w:lineRule="auto"/>
        <w:rPr>
          <w:rFonts w:ascii="宋体" w:hAnsi="宋体" w:cs="宋体"/>
          <w:sz w:val="24"/>
          <w:highlight w:val="none"/>
        </w:rPr>
      </w:pPr>
      <w:r>
        <w:rPr>
          <w:rFonts w:hint="eastAsia" w:ascii="宋体" w:hAnsi="宋体" w:cs="宋体"/>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38"/>
        <w:numPr>
          <w:ilvl w:val="1"/>
          <w:numId w:val="7"/>
        </w:numPr>
        <w:jc w:val="left"/>
        <w:spacing w:line="360" w:lineRule="auto"/>
        <w:rPr>
          <w:rFonts w:ascii="宋体" w:hAnsi="宋体" w:cs="宋体"/>
          <w:sz w:val="24"/>
          <w:highlight w:val="none"/>
        </w:rPr>
      </w:pPr>
      <w:r>
        <w:rPr>
          <w:rFonts w:hint="eastAsia" w:ascii="宋体" w:hAnsi="宋体" w:cs="宋体"/>
          <w:sz w:val="24"/>
          <w:highlight w:val="none"/>
        </w:rPr>
        <w:t xml:space="preserve">评标委员会要对评分汇总情况进行复核，特别是对排名第一的、报价最低的、投标或响应文件被认定为无效的情形进行重点复核。</w:t>
      </w:r>
      <w:r/>
    </w:p>
    <w:p>
      <w:pPr>
        <w:pStyle w:val="1038"/>
        <w:numPr>
          <w:ilvl w:val="1"/>
          <w:numId w:val="7"/>
        </w:numPr>
        <w:jc w:val="left"/>
        <w:spacing w:line="360" w:lineRule="auto"/>
        <w:rPr>
          <w:rFonts w:ascii="宋体" w:hAnsi="宋体" w:cs="宋体"/>
          <w:sz w:val="24"/>
          <w:highlight w:val="none"/>
        </w:rPr>
      </w:pPr>
      <w:r>
        <w:rPr>
          <w:rFonts w:hint="eastAsia" w:ascii="宋体" w:hAnsi="宋体" w:cs="宋体"/>
          <w:sz w:val="24"/>
          <w:highlight w:val="none"/>
        </w:rPr>
        <w:t xml:space="preserve">评标委员会将根据各投标人的评标排序，依次推荐本项目（各采购包）的中标候选人，起草并签署评标报告。</w:t>
      </w:r>
      <w:r/>
    </w:p>
    <w:p>
      <w:pPr>
        <w:pStyle w:val="1038"/>
        <w:numPr>
          <w:ilvl w:val="0"/>
          <w:numId w:val="7"/>
        </w:numPr>
        <w:jc w:val="left"/>
        <w:spacing w:line="360" w:lineRule="auto"/>
        <w:rPr>
          <w:rFonts w:ascii="宋体" w:hAnsi="宋体" w:cs="宋体"/>
          <w:sz w:val="24"/>
          <w:highlight w:val="none"/>
        </w:rPr>
      </w:pPr>
      <w:r>
        <w:rPr>
          <w:rFonts w:hint="eastAsia" w:ascii="宋体" w:hAnsi="宋体" w:cs="宋体"/>
          <w:sz w:val="24"/>
          <w:highlight w:val="none"/>
        </w:rPr>
        <w:t xml:space="preserve">报告违法行为</w:t>
      </w:r>
      <w:r/>
    </w:p>
    <w:p>
      <w:pPr>
        <w:pStyle w:val="1038"/>
        <w:numPr>
          <w:ilvl w:val="1"/>
          <w:numId w:val="7"/>
        </w:numPr>
        <w:jc w:val="left"/>
        <w:spacing w:line="360" w:lineRule="auto"/>
        <w:rPr>
          <w:rFonts w:ascii="宋体" w:hAnsi="宋体" w:cs="宋体"/>
          <w:sz w:val="24"/>
          <w:highlight w:val="none"/>
        </w:rPr>
      </w:pPr>
      <w:r>
        <w:rPr>
          <w:rFonts w:hint="eastAsia" w:ascii="宋体" w:hAnsi="宋体" w:cs="宋体"/>
          <w:sz w:val="24"/>
          <w:highlight w:val="none"/>
        </w:rPr>
        <w:t xml:space="preserve">评标委员会在评标过程中发现投标人有行贿、提供虚假材料或者串通等违法行为时，有向采购人、采购代理机构或者有关部门报告的职责。</w:t>
      </w:r>
      <w:r/>
    </w:p>
    <w:p>
      <w:pPr>
        <w:pStyle w:val="1038"/>
        <w:numPr>
          <w:ilvl w:val="0"/>
          <w:numId w:val="7"/>
        </w:numPr>
        <w:jc w:val="left"/>
        <w:spacing w:line="360" w:lineRule="auto"/>
        <w:rPr>
          <w:rFonts w:ascii="宋体" w:hAnsi="宋体" w:cs="宋体"/>
          <w:sz w:val="24"/>
          <w:highlight w:val="none"/>
        </w:rPr>
      </w:pPr>
      <w:r>
        <w:rPr>
          <w:rFonts w:hint="eastAsia" w:ascii="宋体" w:hAnsi="宋体" w:cs="宋体"/>
          <w:bCs/>
          <w:sz w:val="24"/>
          <w:highlight w:val="none"/>
        </w:rPr>
        <w:t xml:space="preserve">未通过资格审查或符合性审查的投标人，评标委员会将在“</w:t>
      </w:r>
      <w:r>
        <w:rPr>
          <w:rFonts w:hint="eastAsia" w:ascii="宋体" w:hAnsi="宋体" w:cs="宋体"/>
          <w:sz w:val="24"/>
          <w:szCs w:val="24"/>
          <w:highlight w:val="none"/>
        </w:rPr>
        <w:t xml:space="preserve">苏采云”系统</w:t>
      </w:r>
      <w:r>
        <w:rPr>
          <w:rFonts w:hint="eastAsia" w:ascii="宋体" w:hAnsi="宋体" w:cs="宋体"/>
          <w:bCs/>
          <w:sz w:val="24"/>
          <w:highlight w:val="none"/>
        </w:rPr>
        <w:t xml:space="preserve">中告知未通过资格审查或符合性审查的原因，评标结束后，代理机构将不再告知未通过资格审查和符合性审查的原因。</w:t>
      </w:r>
      <w:r/>
    </w:p>
    <w:p>
      <w:pPr>
        <w:pStyle w:val="1038"/>
        <w:numPr>
          <w:ilvl w:val="0"/>
          <w:numId w:val="7"/>
        </w:numPr>
        <w:jc w:val="left"/>
        <w:spacing w:line="360" w:lineRule="auto"/>
        <w:rPr>
          <w:rFonts w:ascii="宋体" w:hAnsi="宋体" w:cs="宋体"/>
          <w:sz w:val="24"/>
          <w:highlight w:val="none"/>
        </w:rPr>
      </w:pPr>
      <w:r/>
      <w:bookmarkStart w:id="511" w:name="_Hlk159067375"/>
      <w:r>
        <w:rPr>
          <w:rFonts w:hint="eastAsia" w:ascii="宋体" w:hAnsi="宋体" w:cs="宋体"/>
          <w:sz w:val="24"/>
          <w:szCs w:val="24"/>
          <w:highlight w:val="none"/>
        </w:rPr>
        <w:t xml:space="preserve">采用综合评分法的项目，未中标的投标人可于中标结果公告期限届满之日起通过“苏采云”系统查看自己的评审得分及排序情况。</w:t>
      </w:r>
      <w:bookmarkEnd w:id="511"/>
      <w:r/>
      <w:r/>
    </w:p>
    <w:p>
      <w:pPr>
        <w:pStyle w:val="1038"/>
        <w:numPr>
          <w:ilvl w:val="0"/>
          <w:numId w:val="7"/>
        </w:numPr>
        <w:jc w:val="left"/>
        <w:spacing w:line="360" w:lineRule="auto"/>
        <w:rPr>
          <w:rFonts w:ascii="宋体" w:hAnsi="宋体" w:cs="宋体"/>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sz w:val="24"/>
          <w:highlight w:val="none"/>
        </w:rPr>
      </w:r>
      <w:r/>
    </w:p>
    <w:p>
      <w:pPr>
        <w:pStyle w:val="1038"/>
        <w:numPr>
          <w:ilvl w:val="0"/>
          <w:numId w:val="8"/>
        </w:numPr>
        <w:ind w:firstLine="0"/>
        <w:jc w:val="center"/>
        <w:spacing w:line="360" w:lineRule="auto"/>
        <w:rPr>
          <w:rFonts w:ascii="宋体" w:hAnsi="宋体" w:cs="宋体"/>
          <w:b/>
          <w:sz w:val="28"/>
          <w:szCs w:val="28"/>
          <w:highlight w:val="none"/>
        </w:rPr>
      </w:pPr>
      <w:r/>
      <w:bookmarkStart w:id="512" w:name="_Toc104818929"/>
      <w:r>
        <w:rPr>
          <w:rFonts w:hint="eastAsia" w:ascii="宋体" w:hAnsi="宋体" w:cs="宋体"/>
          <w:b/>
          <w:sz w:val="28"/>
          <w:szCs w:val="28"/>
          <w:highlight w:val="none"/>
        </w:rPr>
        <w:t xml:space="preserve">评标标准</w:t>
      </w:r>
      <w:r/>
    </w:p>
    <w:tbl>
      <w:tblPr>
        <w:tblStyle w:val="994"/>
        <w:tblW w:w="8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093"/>
        <w:gridCol w:w="783"/>
        <w:gridCol w:w="4328"/>
        <w:gridCol w:w="1941"/>
      </w:tblGrid>
      <w:tr>
        <w:trPr>
          <w:jc w:val="center"/>
          <w:trHeight w:val="616"/>
        </w:trPr>
        <w:tc>
          <w:tcPr>
            <w:tcW w:w="732" w:type="dxa"/>
            <w:vAlign w:val="center"/>
            <w:textDirection w:val="lrTb"/>
            <w:noWrap w:val="false"/>
          </w:tcPr>
          <w:p>
            <w:pPr>
              <w:ind w:firstLine="28"/>
              <w:jc w:val="center"/>
              <w:rPr>
                <w:rFonts w:ascii="宋体" w:hAnsi="宋体" w:cs="宋体"/>
                <w:b/>
                <w:sz w:val="21"/>
                <w:szCs w:val="21"/>
                <w:highlight w:val="none"/>
              </w:rPr>
            </w:pPr>
            <w:r>
              <w:rPr>
                <w:rFonts w:hint="eastAsia" w:ascii="宋体" w:hAnsi="宋体" w:cs="宋体"/>
                <w:b/>
                <w:sz w:val="21"/>
                <w:szCs w:val="21"/>
                <w:highlight w:val="none"/>
              </w:rPr>
              <w:t xml:space="preserve">序号</w:t>
            </w:r>
            <w:r/>
          </w:p>
        </w:tc>
        <w:tc>
          <w:tcPr>
            <w:tcW w:w="1093" w:type="dxa"/>
            <w:vAlign w:val="center"/>
            <w:textDirection w:val="lrTb"/>
            <w:noWrap w:val="false"/>
          </w:tcPr>
          <w:p>
            <w:pPr>
              <w:ind w:firstLine="28"/>
              <w:jc w:val="center"/>
              <w:rPr>
                <w:rFonts w:ascii="宋体" w:hAnsi="宋体" w:cs="宋体"/>
                <w:b/>
                <w:sz w:val="21"/>
                <w:szCs w:val="21"/>
                <w:highlight w:val="none"/>
              </w:rPr>
            </w:pPr>
            <w:r>
              <w:rPr>
                <w:rFonts w:hint="eastAsia" w:ascii="宋体" w:hAnsi="宋体" w:cs="宋体"/>
                <w:b/>
                <w:sz w:val="21"/>
                <w:szCs w:val="21"/>
                <w:highlight w:val="none"/>
              </w:rPr>
              <w:t xml:space="preserve">评分</w:t>
            </w:r>
            <w:r/>
          </w:p>
          <w:p>
            <w:pPr>
              <w:ind w:firstLine="28"/>
              <w:jc w:val="center"/>
              <w:rPr>
                <w:rFonts w:ascii="宋体" w:hAnsi="宋体" w:cs="宋体"/>
                <w:b/>
                <w:sz w:val="21"/>
                <w:szCs w:val="21"/>
                <w:highlight w:val="none"/>
              </w:rPr>
            </w:pPr>
            <w:r>
              <w:rPr>
                <w:rFonts w:hint="eastAsia" w:ascii="宋体" w:hAnsi="宋体" w:cs="宋体"/>
                <w:b/>
                <w:sz w:val="21"/>
                <w:szCs w:val="21"/>
                <w:highlight w:val="none"/>
              </w:rPr>
              <w:t xml:space="preserve">因素</w:t>
            </w:r>
            <w:r/>
          </w:p>
        </w:tc>
        <w:tc>
          <w:tcPr>
            <w:tcW w:w="783" w:type="dxa"/>
            <w:vAlign w:val="center"/>
            <w:textDirection w:val="lrTb"/>
            <w:noWrap w:val="false"/>
          </w:tcPr>
          <w:p>
            <w:pPr>
              <w:ind w:firstLine="28"/>
              <w:jc w:val="center"/>
              <w:rPr>
                <w:rFonts w:ascii="宋体" w:hAnsi="宋体" w:cs="宋体"/>
                <w:b/>
                <w:sz w:val="21"/>
                <w:szCs w:val="21"/>
                <w:highlight w:val="none"/>
              </w:rPr>
            </w:pPr>
            <w:r>
              <w:rPr>
                <w:rFonts w:hint="eastAsia" w:ascii="宋体" w:hAnsi="宋体" w:cs="宋体"/>
                <w:b/>
                <w:sz w:val="21"/>
                <w:szCs w:val="21"/>
                <w:highlight w:val="none"/>
              </w:rPr>
              <w:t xml:space="preserve">分值</w:t>
            </w:r>
            <w:r/>
          </w:p>
        </w:tc>
        <w:tc>
          <w:tcPr>
            <w:tcW w:w="4328" w:type="dxa"/>
            <w:vAlign w:val="center"/>
            <w:textDirection w:val="lrTb"/>
            <w:noWrap w:val="false"/>
          </w:tcPr>
          <w:p>
            <w:pPr>
              <w:ind w:firstLine="28"/>
              <w:jc w:val="center"/>
              <w:rPr>
                <w:rFonts w:ascii="宋体" w:hAnsi="宋体" w:cs="宋体"/>
                <w:b/>
                <w:sz w:val="21"/>
                <w:szCs w:val="21"/>
                <w:highlight w:val="none"/>
              </w:rPr>
            </w:pPr>
            <w:r>
              <w:rPr>
                <w:rFonts w:hint="eastAsia" w:ascii="宋体" w:hAnsi="宋体" w:cs="宋体"/>
                <w:b/>
                <w:sz w:val="21"/>
                <w:szCs w:val="21"/>
                <w:highlight w:val="none"/>
              </w:rPr>
              <w:t xml:space="preserve">评分标准</w:t>
            </w:r>
            <w:r/>
          </w:p>
        </w:tc>
        <w:tc>
          <w:tcPr>
            <w:tcW w:w="1941" w:type="dxa"/>
            <w:vAlign w:val="center"/>
            <w:textDirection w:val="lrTb"/>
            <w:noWrap w:val="false"/>
          </w:tcPr>
          <w:p>
            <w:pPr>
              <w:pStyle w:val="1041"/>
              <w:spacing w:before="0" w:after="0" w:line="24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说明</w:t>
            </w:r>
            <w:r/>
          </w:p>
        </w:tc>
      </w:tr>
      <w:tr>
        <w:trPr>
          <w:jc w:val="center"/>
          <w:trHeight w:val="3948"/>
        </w:trPr>
        <w:tc>
          <w:tcPr>
            <w:tcW w:w="732" w:type="dxa"/>
            <w:vAlign w:val="center"/>
            <w:textDirection w:val="lrTb"/>
            <w:noWrap w:val="false"/>
          </w:tcPr>
          <w:p>
            <w:pPr>
              <w:ind w:firstLine="28"/>
              <w:jc w:val="center"/>
              <w:rPr>
                <w:rFonts w:ascii="宋体" w:hAnsi="宋体" w:cs="宋体"/>
                <w:b/>
                <w:sz w:val="21"/>
                <w:szCs w:val="21"/>
                <w:highlight w:val="none"/>
              </w:rPr>
            </w:pPr>
            <w:r>
              <w:rPr>
                <w:rFonts w:hint="eastAsia" w:ascii="宋体" w:hAnsi="宋体" w:cs="宋体"/>
                <w:b/>
                <w:sz w:val="21"/>
                <w:szCs w:val="21"/>
                <w:highlight w:val="none"/>
              </w:rPr>
              <w:t xml:space="preserve">1</w:t>
            </w:r>
            <w:r/>
          </w:p>
        </w:tc>
        <w:tc>
          <w:tcPr>
            <w:tcW w:w="1093" w:type="dxa"/>
            <w:vAlign w:val="center"/>
            <w:textDirection w:val="lrTb"/>
            <w:noWrap w:val="false"/>
          </w:tcPr>
          <w:p>
            <w:pPr>
              <w:ind w:firstLine="28"/>
              <w:jc w:val="center"/>
              <w:rPr>
                <w:rFonts w:ascii="宋体" w:hAnsi="宋体" w:cs="宋体"/>
                <w:b/>
                <w:sz w:val="21"/>
                <w:szCs w:val="21"/>
                <w:highlight w:val="none"/>
              </w:rPr>
            </w:pPr>
            <w:r>
              <w:rPr>
                <w:rFonts w:hint="eastAsia" w:ascii="宋体" w:hAnsi="宋体" w:cs="宋体"/>
                <w:b/>
                <w:sz w:val="21"/>
                <w:szCs w:val="21"/>
                <w:highlight w:val="none"/>
              </w:rPr>
              <w:t xml:space="preserve">价格分</w:t>
            </w:r>
            <w:r/>
          </w:p>
        </w:tc>
        <w:tc>
          <w:tcPr>
            <w:tcW w:w="783" w:type="dxa"/>
            <w:vAlign w:val="center"/>
            <w:textDirection w:val="lrTb"/>
            <w:noWrap w:val="false"/>
          </w:tcPr>
          <w:p>
            <w:pPr>
              <w:ind w:firstLine="28"/>
              <w:jc w:val="center"/>
              <w:rPr>
                <w:rFonts w:ascii="宋体" w:hAnsi="宋体" w:cs="宋体"/>
                <w:b/>
                <w:sz w:val="21"/>
                <w:szCs w:val="21"/>
                <w:highlight w:val="none"/>
              </w:rPr>
            </w:pPr>
            <w:r>
              <w:rPr>
                <w:rFonts w:ascii="宋体" w:hAnsi="宋体" w:cs="宋体"/>
                <w:b/>
                <w:sz w:val="21"/>
                <w:szCs w:val="21"/>
                <w:highlight w:val="none"/>
              </w:rPr>
              <w:t xml:space="preserve">50</w:t>
            </w:r>
            <w:r/>
          </w:p>
        </w:tc>
        <w:tc>
          <w:tcPr>
            <w:tcW w:w="4328" w:type="dxa"/>
            <w:vAlign w:val="center"/>
            <w:textDirection w:val="lrTb"/>
            <w:noWrap w:val="false"/>
          </w:tcPr>
          <w:p>
            <w:pPr>
              <w:pStyle w:val="999"/>
              <w:jc w:val="both"/>
              <w:spacing w:before="120" w:after="120"/>
              <w:rPr>
                <w:color w:val="auto"/>
                <w:sz w:val="21"/>
                <w:szCs w:val="21"/>
                <w:highlight w:val="none"/>
              </w:rPr>
            </w:pPr>
            <w:r/>
            <w:bookmarkStart w:id="513" w:name="OLE_LINK8"/>
            <w:r>
              <w:rPr>
                <w:rFonts w:hint="eastAsia"/>
                <w:color w:val="auto"/>
                <w:sz w:val="21"/>
                <w:szCs w:val="21"/>
                <w:highlight w:val="none"/>
              </w:rPr>
              <w:t xml:space="preserve">满足招标文件要求</w:t>
            </w:r>
            <w:r>
              <w:rPr>
                <w:rFonts w:hint="eastAsia"/>
                <w:color w:val="auto"/>
                <w:sz w:val="21"/>
                <w:szCs w:val="21"/>
                <w:highlight w:val="none"/>
                <w:lang w:val="en-US" w:eastAsia="zh-CN"/>
              </w:rPr>
              <w:t xml:space="preserve">前提下，</w:t>
            </w:r>
            <w:r>
              <w:rPr>
                <w:rFonts w:hint="eastAsia" w:asciiTheme="minorEastAsia" w:hAnsiTheme="minorEastAsia" w:eastAsiaTheme="minorEastAsia"/>
                <w:color w:val="auto"/>
                <w:sz w:val="21"/>
                <w:szCs w:val="21"/>
                <w:highlight w:val="none"/>
              </w:rPr>
              <w:t xml:space="preserve">（1-最大优惠率）</w:t>
            </w:r>
            <w:r>
              <w:rPr>
                <w:rFonts w:hint="eastAsia"/>
                <w:color w:val="auto"/>
                <w:sz w:val="21"/>
                <w:szCs w:val="21"/>
                <w:highlight w:val="none"/>
              </w:rPr>
              <w:t xml:space="preserve">为评标基准价，其价格分为满分。其他投标人的价格分统一按照下列公式计算：</w:t>
            </w:r>
            <w:r/>
          </w:p>
          <w:p>
            <w:pPr>
              <w:pStyle w:val="999"/>
              <w:jc w:val="both"/>
              <w:spacing w:before="120" w:after="120"/>
              <w:rPr>
                <w:color w:val="auto"/>
                <w:sz w:val="21"/>
                <w:szCs w:val="21"/>
                <w:highlight w:val="none"/>
              </w:rPr>
            </w:pPr>
            <w:r>
              <w:rPr>
                <w:rFonts w:hint="eastAsia"/>
                <w:color w:val="auto"/>
                <w:sz w:val="21"/>
                <w:szCs w:val="21"/>
                <w:highlight w:val="none"/>
              </w:rPr>
              <w:t xml:space="preserve">投标报价得分＝（1-最大优惠率）/（1-各</w:t>
            </w:r>
            <w:r>
              <w:rPr>
                <w:rFonts w:hint="eastAsia"/>
                <w:color w:val="auto"/>
                <w:sz w:val="21"/>
                <w:szCs w:val="21"/>
                <w:highlight w:val="none"/>
                <w:lang w:val="en-US" w:eastAsia="zh-CN"/>
              </w:rPr>
              <w:t xml:space="preserve">投标人</w:t>
            </w:r>
            <w:r>
              <w:rPr>
                <w:rFonts w:hint="eastAsia"/>
                <w:color w:val="auto"/>
                <w:sz w:val="21"/>
                <w:szCs w:val="21"/>
                <w:highlight w:val="none"/>
              </w:rPr>
              <w:t xml:space="preserve">所报优惠率）×分值。</w:t>
            </w:r>
            <w:bookmarkEnd w:id="513"/>
            <w:r/>
            <w:r/>
          </w:p>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1941" w:type="dxa"/>
            <w:vAlign w:val="center"/>
            <w:textDirection w:val="lrTb"/>
            <w:noWrap w:val="false"/>
          </w:tcPr>
          <w:p>
            <w:pPr>
              <w:ind w:left="-38"/>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注意：</w:t>
            </w:r>
            <w:r/>
          </w:p>
          <w:p>
            <w:pPr>
              <w:ind w:left="-38"/>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1、本项目优惠率报价范围为：30%≤优惠率&lt;100%，否则视为无效投标。</w:t>
            </w:r>
            <w:r/>
          </w:p>
          <w:p>
            <w:pPr>
              <w:ind w:left="-38"/>
              <w:rPr>
                <w:rFonts w:ascii="宋体" w:hAnsi="宋体" w:cs="宋体"/>
                <w:bCs/>
                <w:color w:val="auto"/>
                <w:sz w:val="21"/>
                <w:szCs w:val="21"/>
                <w:highlight w:val="none"/>
              </w:rPr>
            </w:pPr>
            <w:r>
              <w:rPr>
                <w:rFonts w:hint="eastAsia" w:ascii="宋体" w:hAnsi="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rPr>
              <w:t xml:space="preserve">评审委员会认为投标人的报价属于应当启动异常低价投标审查程序范畴的</w:t>
            </w:r>
            <w:r>
              <w:rPr>
                <w:rFonts w:hint="eastAsia" w:ascii="宋体" w:hAnsi="宋体" w:cs="宋体"/>
                <w:b/>
                <w:bCs/>
                <w:color w:val="auto"/>
                <w:sz w:val="21"/>
                <w:szCs w:val="21"/>
                <w:highlight w:val="none"/>
                <w:u w:val="single"/>
                <w:lang w:eastAsia="zh-CN"/>
              </w:rPr>
              <w:t xml:space="preserve">（</w:t>
            </w:r>
            <w:r>
              <w:rPr>
                <w:rFonts w:hint="eastAsia" w:ascii="宋体" w:hAnsi="宋体" w:cs="宋体"/>
                <w:b/>
                <w:bCs/>
                <w:color w:val="auto"/>
                <w:sz w:val="21"/>
                <w:szCs w:val="21"/>
                <w:highlight w:val="none"/>
                <w:u w:val="single"/>
                <w:lang w:val="en-US" w:eastAsia="zh-CN"/>
              </w:rPr>
              <w:t xml:space="preserve">低于最高限价的45%，即投标优惠率大于55%</w:t>
            </w:r>
            <w:r>
              <w:rPr>
                <w:rFonts w:hint="eastAsia" w:ascii="宋体" w:hAnsi="宋体" w:cs="宋体"/>
                <w:b/>
                <w:bCs/>
                <w:color w:val="auto"/>
                <w:sz w:val="21"/>
                <w:szCs w:val="21"/>
                <w:highlight w:val="none"/>
                <w:u w:val="single"/>
                <w:lang w:eastAsia="zh-CN"/>
              </w:rPr>
              <w:t xml:space="preserve">）</w:t>
            </w:r>
            <w:r>
              <w:rPr>
                <w:rFonts w:hint="eastAsia" w:ascii="宋体" w:hAnsi="宋体" w:cs="宋体"/>
                <w:b/>
                <w:bCs/>
                <w:color w:val="auto"/>
                <w:sz w:val="21"/>
                <w:szCs w:val="21"/>
                <w:highlight w:val="none"/>
              </w:rPr>
              <w:t xml:space="preserve">，应当要求其在评审现场合理的时间内提供书面说明，必要时提交相关证明材料；投标人不能证明其报价合理性的，评审委员会应当将其作为无效投标处理。</w:t>
            </w:r>
            <w:r/>
          </w:p>
        </w:tc>
      </w:tr>
      <w:tr>
        <w:trPr>
          <w:jc w:val="center"/>
          <w:trHeight w:val="313"/>
        </w:trPr>
        <w:tc>
          <w:tcPr>
            <w:tcW w:w="732" w:type="dxa"/>
            <w:vAlign w:val="center"/>
            <w:textDirection w:val="lrTb"/>
            <w:noWrap w:val="false"/>
          </w:tcPr>
          <w:p>
            <w:pPr>
              <w:ind w:firstLine="28"/>
              <w:jc w:val="center"/>
              <w:rPr>
                <w:rFonts w:ascii="宋体" w:hAnsi="宋体" w:cs="宋体"/>
                <w:b/>
                <w:sz w:val="21"/>
                <w:szCs w:val="21"/>
                <w:highlight w:val="none"/>
              </w:rPr>
            </w:pPr>
            <w:r>
              <w:rPr>
                <w:rFonts w:hint="eastAsia" w:ascii="宋体" w:hAnsi="宋体" w:cs="宋体"/>
                <w:b/>
                <w:sz w:val="21"/>
                <w:szCs w:val="21"/>
                <w:highlight w:val="none"/>
              </w:rPr>
              <w:t xml:space="preserve">2</w:t>
            </w:r>
            <w:r/>
          </w:p>
        </w:tc>
        <w:tc>
          <w:tcPr>
            <w:tcW w:w="1093" w:type="dxa"/>
            <w:vAlign w:val="center"/>
            <w:textDirection w:val="lrTb"/>
            <w:noWrap w:val="false"/>
          </w:tcPr>
          <w:p>
            <w:pPr>
              <w:ind w:firstLine="28"/>
              <w:jc w:val="center"/>
              <w:rPr>
                <w:rFonts w:ascii="宋体" w:hAnsi="宋体" w:cs="宋体"/>
                <w:b/>
                <w:sz w:val="21"/>
                <w:szCs w:val="21"/>
                <w:highlight w:val="none"/>
              </w:rPr>
            </w:pPr>
            <w:r>
              <w:rPr>
                <w:rFonts w:hint="eastAsia" w:ascii="宋体" w:hAnsi="宋体" w:cs="宋体"/>
                <w:b/>
                <w:sz w:val="21"/>
                <w:szCs w:val="21"/>
                <w:highlight w:val="none"/>
              </w:rPr>
              <w:t xml:space="preserve">技术分</w:t>
            </w:r>
            <w:r/>
          </w:p>
        </w:tc>
        <w:tc>
          <w:tcPr>
            <w:tcW w:w="783" w:type="dxa"/>
            <w:vAlign w:val="center"/>
            <w:textDirection w:val="lrTb"/>
            <w:noWrap w:val="false"/>
          </w:tcPr>
          <w:p>
            <w:pPr>
              <w:ind w:firstLine="28"/>
              <w:jc w:val="center"/>
              <w:rPr>
                <w:rFonts w:hint="default" w:ascii="宋体" w:hAnsi="宋体" w:eastAsia="宋体" w:cs="宋体"/>
                <w:b/>
                <w:sz w:val="21"/>
                <w:szCs w:val="21"/>
                <w:highlight w:val="none"/>
                <w:lang w:val="en-US" w:eastAsia="zh-CN"/>
              </w:rPr>
            </w:pPr>
            <w:r>
              <w:rPr>
                <w:rFonts w:hint="eastAsia" w:ascii="宋体" w:hAnsi="宋体" w:cs="宋体"/>
                <w:b/>
                <w:sz w:val="21"/>
                <w:szCs w:val="21"/>
                <w:highlight w:val="none"/>
                <w:lang w:val="en-US" w:eastAsia="zh-CN"/>
              </w:rPr>
              <w:t xml:space="preserve">35</w:t>
            </w:r>
            <w:r/>
          </w:p>
        </w:tc>
        <w:tc>
          <w:tcPr>
            <w:tcW w:w="4328" w:type="dxa"/>
            <w:vAlign w:val="center"/>
            <w:textDirection w:val="lrTb"/>
            <w:noWrap w:val="false"/>
          </w:tcPr>
          <w:p>
            <w:pPr>
              <w:rPr>
                <w:rFonts w:ascii="宋体" w:hAnsi="宋体" w:cs="宋体"/>
                <w:bCs/>
                <w:sz w:val="21"/>
                <w:szCs w:val="21"/>
                <w:highlight w:val="none"/>
              </w:rPr>
            </w:pPr>
            <w:r>
              <w:rPr>
                <w:rFonts w:ascii="宋体" w:hAnsi="宋体" w:cs="宋体"/>
                <w:bCs/>
                <w:sz w:val="21"/>
                <w:szCs w:val="21"/>
                <w:highlight w:val="none"/>
              </w:rPr>
            </w:r>
            <w:r/>
          </w:p>
        </w:tc>
        <w:tc>
          <w:tcPr>
            <w:tcW w:w="1941" w:type="dxa"/>
            <w:vAlign w:val="center"/>
            <w:textDirection w:val="lrTb"/>
            <w:noWrap w:val="false"/>
          </w:tcPr>
          <w:p>
            <w:pPr>
              <w:ind w:left="-38"/>
              <w:rPr>
                <w:rFonts w:ascii="宋体" w:hAnsi="宋体" w:cs="宋体"/>
                <w:bCs/>
                <w:sz w:val="21"/>
                <w:szCs w:val="21"/>
                <w:highlight w:val="none"/>
              </w:rPr>
            </w:pPr>
            <w:r>
              <w:rPr>
                <w:rFonts w:ascii="宋体" w:hAnsi="宋体" w:cs="宋体"/>
                <w:bCs/>
                <w:sz w:val="21"/>
                <w:szCs w:val="21"/>
                <w:highlight w:val="none"/>
              </w:rPr>
            </w:r>
            <w:r/>
          </w:p>
        </w:tc>
      </w:tr>
      <w:tr>
        <w:trPr>
          <w:jc w:val="center"/>
          <w:trHeight w:val="2364"/>
        </w:trPr>
        <w:tc>
          <w:tcPr>
            <w:tcW w:w="732" w:type="dxa"/>
            <w:vAlign w:val="center"/>
            <w:textDirection w:val="lrTb"/>
            <w:noWrap w:val="false"/>
          </w:tcPr>
          <w:p>
            <w:pPr>
              <w:ind w:firstLine="28"/>
              <w:jc w:val="center"/>
              <w:rPr>
                <w:rFonts w:ascii="宋体" w:hAnsi="宋体" w:cs="宋体"/>
                <w:bCs/>
                <w:sz w:val="21"/>
                <w:szCs w:val="21"/>
                <w:highlight w:val="none"/>
              </w:rPr>
            </w:pPr>
            <w:r>
              <w:rPr>
                <w:rFonts w:hint="eastAsia" w:ascii="宋体" w:hAnsi="宋体" w:cs="宋体"/>
                <w:bCs/>
                <w:sz w:val="21"/>
                <w:szCs w:val="21"/>
                <w:highlight w:val="none"/>
              </w:rPr>
              <w:t xml:space="preserve">2.1</w:t>
            </w:r>
            <w:r/>
          </w:p>
        </w:tc>
        <w:tc>
          <w:tcPr>
            <w:tcW w:w="1093" w:type="dxa"/>
            <w:vAlign w:val="center"/>
            <w:textDirection w:val="lrTb"/>
            <w:noWrap w:val="false"/>
          </w:tcPr>
          <w:p>
            <w:pPr>
              <w:jc w:val="center"/>
              <w:widowControl/>
              <w:tabs>
                <w:tab w:val="left" w:pos="1200" w:leader="none"/>
              </w:tabs>
              <w:rPr>
                <w:rFonts w:ascii="宋体" w:hAnsi="宋体" w:cs="宋体"/>
                <w:bCs/>
                <w:sz w:val="21"/>
                <w:szCs w:val="21"/>
                <w:highlight w:val="none"/>
                <w:lang w:val="zh-Hans"/>
              </w:rPr>
            </w:pPr>
            <w:r>
              <w:rPr>
                <w:rFonts w:hint="eastAsia" w:ascii="宋体" w:hAnsi="宋体" w:cs="宋体"/>
                <w:bCs/>
                <w:sz w:val="21"/>
                <w:szCs w:val="21"/>
                <w:highlight w:val="none"/>
              </w:rPr>
              <w:t xml:space="preserve">工作方案</w:t>
            </w:r>
            <w:r/>
          </w:p>
        </w:tc>
        <w:tc>
          <w:tcPr>
            <w:tcW w:w="783" w:type="dxa"/>
            <w:vAlign w:val="center"/>
            <w:textDirection w:val="lrTb"/>
            <w:noWrap w:val="false"/>
          </w:tcPr>
          <w:p>
            <w:pPr>
              <w:ind w:firstLine="28"/>
              <w:jc w:val="center"/>
              <w:rPr>
                <w:rFonts w:ascii="宋体" w:hAnsi="宋体" w:cs="宋体"/>
                <w:bCs/>
                <w:sz w:val="21"/>
                <w:szCs w:val="21"/>
                <w:highlight w:val="none"/>
              </w:rPr>
            </w:pPr>
            <w:r>
              <w:rPr>
                <w:rFonts w:hint="eastAsia" w:ascii="宋体" w:hAnsi="宋体" w:cs="宋体"/>
                <w:bCs/>
                <w:sz w:val="21"/>
                <w:szCs w:val="21"/>
                <w:highlight w:val="none"/>
              </w:rPr>
              <w:t xml:space="preserve">10</w:t>
            </w:r>
            <w:r/>
          </w:p>
        </w:tc>
        <w:tc>
          <w:tcPr>
            <w:tcW w:w="4328" w:type="dxa"/>
            <w:vAlign w:val="center"/>
            <w:textDirection w:val="lrTb"/>
            <w:noWrap w:val="false"/>
          </w:tcPr>
          <w:p>
            <w:pPr>
              <w:pStyle w:val="999"/>
              <w:jc w:val="both"/>
              <w:spacing w:before="120" w:after="120"/>
              <w:rPr>
                <w:rFonts w:ascii="宋体" w:hAnsi="宋体" w:cs="宋体"/>
                <w:bCs/>
                <w:sz w:val="21"/>
                <w:szCs w:val="21"/>
                <w:highlight w:val="none"/>
              </w:rPr>
            </w:pPr>
            <w:r>
              <w:rPr>
                <w:rFonts w:hint="eastAsia"/>
                <w:sz w:val="21"/>
                <w:szCs w:val="21"/>
                <w:highlight w:val="none"/>
              </w:rPr>
              <w:t xml:space="preserve">根据投标人</w:t>
            </w:r>
            <w:r>
              <w:rPr>
                <w:rFonts w:hint="eastAsia" w:ascii="Times New Roman" w:hAnsi="Times New Roman" w:eastAsia="宋体" w:cs="Times New Roman"/>
                <w:sz w:val="21"/>
                <w:szCs w:val="21"/>
                <w:highlight w:val="none"/>
              </w:rPr>
              <w:t xml:space="preserve">针对本项目</w:t>
            </w:r>
            <w:r>
              <w:rPr>
                <w:rFonts w:hint="eastAsia"/>
                <w:sz w:val="21"/>
                <w:szCs w:val="21"/>
                <w:highlight w:val="none"/>
                <w:lang w:val="en-US" w:eastAsia="zh-CN"/>
              </w:rPr>
              <w:t xml:space="preserve">提供</w:t>
            </w:r>
            <w:r>
              <w:rPr>
                <w:rFonts w:hint="eastAsia"/>
                <w:sz w:val="21"/>
                <w:szCs w:val="21"/>
                <w:highlight w:val="none"/>
              </w:rPr>
              <w:t xml:space="preserve">的工作方案（</w:t>
            </w:r>
            <w:r>
              <w:rPr>
                <w:rFonts w:hint="eastAsia"/>
                <w:sz w:val="21"/>
                <w:szCs w:val="21"/>
                <w:highlight w:val="none"/>
                <w:lang w:val="en-US" w:eastAsia="zh-CN"/>
              </w:rPr>
              <w:t xml:space="preserve">包括但不限于</w:t>
            </w:r>
            <w:r>
              <w:rPr>
                <w:rFonts w:hint="eastAsia" w:ascii="宋体" w:hAnsi="宋体" w:cs="宋体"/>
                <w:sz w:val="21"/>
                <w:szCs w:val="21"/>
                <w:highlight w:val="none"/>
              </w:rPr>
              <w:t xml:space="preserve">项目主要内容、工作思路、实现路径、技术路线等</w:t>
            </w:r>
            <w:r>
              <w:rPr>
                <w:rFonts w:hint="eastAsia"/>
                <w:sz w:val="21"/>
                <w:szCs w:val="21"/>
                <w:highlight w:val="none"/>
              </w:rPr>
              <w:t xml:space="preserve">）进行综合评审</w:t>
            </w:r>
            <w:r>
              <w:rPr>
                <w:rFonts w:hint="eastAsia"/>
                <w:sz w:val="21"/>
                <w:szCs w:val="21"/>
                <w:highlight w:val="none"/>
                <w:lang w:eastAsia="zh-CN"/>
              </w:rPr>
              <w:t xml:space="preserve">：</w:t>
            </w:r>
            <w:r>
              <w:rPr>
                <w:rFonts w:hint="eastAsia" w:ascii="Times New Roman" w:hAnsi="Times New Roman" w:eastAsia="宋体" w:cs="Times New Roman"/>
                <w:sz w:val="21"/>
                <w:szCs w:val="21"/>
                <w:highlight w:val="none"/>
                <w:lang w:val="en-US" w:eastAsia="zh-CN"/>
              </w:rPr>
              <w:t xml:space="preserve">方案</w:t>
            </w:r>
            <w:r>
              <w:rPr>
                <w:rFonts w:hint="eastAsia" w:ascii="Times New Roman" w:hAnsi="Times New Roman" w:eastAsia="宋体" w:cs="Times New Roman"/>
                <w:sz w:val="21"/>
                <w:szCs w:val="21"/>
                <w:highlight w:val="none"/>
              </w:rPr>
              <w:t xml:space="preserve">具体全面、可行性高，能完全满足项目实施要求</w:t>
            </w:r>
            <w:r>
              <w:rPr>
                <w:rFonts w:hint="eastAsia" w:ascii="Times New Roman" w:hAnsi="Times New Roman" w:eastAsia="宋体" w:cs="Times New Roman"/>
                <w:sz w:val="21"/>
                <w:szCs w:val="21"/>
                <w:highlight w:val="none"/>
                <w:lang w:val="en-US" w:eastAsia="zh-CN"/>
              </w:rPr>
              <w:t xml:space="preserve">的</w:t>
            </w:r>
            <w:r>
              <w:rPr>
                <w:rFonts w:hint="eastAsia" w:ascii="Times New Roman" w:hAnsi="Times New Roman" w:eastAsia="宋体" w:cs="Times New Roman"/>
                <w:sz w:val="21"/>
                <w:szCs w:val="21"/>
                <w:highlight w:val="none"/>
              </w:rPr>
              <w:t xml:space="preserve">得</w:t>
            </w:r>
            <w:r>
              <w:rPr>
                <w:rFonts w:hint="eastAsia" w:ascii="Times New Roman" w:hAnsi="Times New Roman" w:eastAsia="宋体" w:cs="Times New Roman"/>
                <w:sz w:val="21"/>
                <w:szCs w:val="21"/>
                <w:highlight w:val="none"/>
                <w:lang w:val="en-US" w:eastAsia="zh-CN"/>
              </w:rPr>
              <w:t xml:space="preserve">10</w:t>
            </w:r>
            <w:r>
              <w:rPr>
                <w:rFonts w:hint="eastAsia" w:ascii="Times New Roman" w:hAnsi="Times New Roman" w:eastAsia="宋体" w:cs="Times New Roman"/>
                <w:sz w:val="21"/>
                <w:szCs w:val="21"/>
                <w:highlight w:val="none"/>
              </w:rPr>
              <w:t xml:space="preserve">分；内容较为具体全面，可行性较高，能基本满足项目实施要求</w:t>
            </w:r>
            <w:r>
              <w:rPr>
                <w:rFonts w:hint="eastAsia" w:ascii="Times New Roman" w:hAnsi="Times New Roman" w:eastAsia="宋体" w:cs="Times New Roman"/>
                <w:sz w:val="21"/>
                <w:szCs w:val="21"/>
                <w:highlight w:val="none"/>
                <w:lang w:val="en-US" w:eastAsia="zh-CN"/>
              </w:rPr>
              <w:t xml:space="preserve">的</w:t>
            </w:r>
            <w:r>
              <w:rPr>
                <w:rFonts w:hint="eastAsia" w:ascii="Times New Roman" w:hAnsi="Times New Roman" w:eastAsia="宋体" w:cs="Times New Roman"/>
                <w:sz w:val="21"/>
                <w:szCs w:val="21"/>
                <w:highlight w:val="none"/>
              </w:rPr>
              <w:t xml:space="preserve">得 </w:t>
            </w:r>
            <w:r>
              <w:rPr>
                <w:rFonts w:hint="eastAsia" w:ascii="Times New Roman" w:hAnsi="Times New Roman" w:eastAsia="宋体" w:cs="Times New Roman"/>
                <w:sz w:val="21"/>
                <w:szCs w:val="21"/>
                <w:highlight w:val="none"/>
                <w:lang w:val="en-US" w:eastAsia="zh-CN"/>
              </w:rPr>
              <w:t xml:space="preserve">8</w:t>
            </w:r>
            <w:r>
              <w:rPr>
                <w:rFonts w:hint="eastAsia" w:ascii="Times New Roman" w:hAnsi="Times New Roman" w:eastAsia="宋体" w:cs="Times New Roman"/>
                <w:sz w:val="21"/>
                <w:szCs w:val="21"/>
                <w:highlight w:val="none"/>
              </w:rPr>
              <w:t xml:space="preserve">分；内容一般，不够具体全面，部分满足项目实施要求</w:t>
            </w:r>
            <w:r>
              <w:rPr>
                <w:rFonts w:hint="eastAsia" w:ascii="Times New Roman" w:hAnsi="Times New Roman" w:eastAsia="宋体" w:cs="Times New Roman"/>
                <w:sz w:val="21"/>
                <w:szCs w:val="21"/>
                <w:highlight w:val="none"/>
                <w:lang w:val="en-US" w:eastAsia="zh-CN"/>
              </w:rPr>
              <w:t xml:space="preserve">的</w:t>
            </w:r>
            <w:r>
              <w:rPr>
                <w:rFonts w:hint="eastAsia" w:ascii="Times New Roman" w:hAnsi="Times New Roman" w:eastAsia="宋体" w:cs="Times New Roman"/>
                <w:sz w:val="21"/>
                <w:szCs w:val="21"/>
                <w:highlight w:val="none"/>
              </w:rPr>
              <w:t xml:space="preserve">得 </w:t>
            </w:r>
            <w:r>
              <w:rPr>
                <w:rFonts w:hint="eastAsia" w:ascii="Times New Roman" w:hAnsi="Times New Roman" w:eastAsia="宋体" w:cs="Times New Roman"/>
                <w:sz w:val="21"/>
                <w:szCs w:val="21"/>
                <w:highlight w:val="none"/>
                <w:lang w:val="en-US" w:eastAsia="zh-CN"/>
              </w:rPr>
              <w:t xml:space="preserve">5</w:t>
            </w:r>
            <w:r>
              <w:rPr>
                <w:rFonts w:hint="eastAsia" w:ascii="Times New Roman" w:hAnsi="Times New Roman" w:eastAsia="宋体" w:cs="Times New Roman"/>
                <w:sz w:val="21"/>
                <w:szCs w:val="21"/>
                <w:highlight w:val="none"/>
              </w:rPr>
              <w:t xml:space="preserve">分；不能满足采购人要求，且没有具体可操作性的得</w:t>
            </w:r>
            <w:r>
              <w:rPr>
                <w:rFonts w:hint="eastAsia" w:ascii="Times New Roman" w:hAnsi="Times New Roman" w:eastAsia="宋体" w:cs="Times New Roman"/>
                <w:sz w:val="21"/>
                <w:szCs w:val="21"/>
                <w:highlight w:val="none"/>
                <w:lang w:val="en-US" w:eastAsia="zh-CN"/>
              </w:rPr>
              <w:t xml:space="preserve">2</w:t>
            </w:r>
            <w:r>
              <w:rPr>
                <w:rFonts w:hint="eastAsia" w:ascii="Times New Roman" w:hAnsi="Times New Roman" w:eastAsia="宋体" w:cs="Times New Roman"/>
                <w:sz w:val="21"/>
                <w:szCs w:val="21"/>
                <w:highlight w:val="none"/>
              </w:rPr>
              <w:t xml:space="preserve">分；未提供不得分。</w:t>
            </w:r>
            <w:r/>
          </w:p>
        </w:tc>
        <w:tc>
          <w:tcPr>
            <w:tcW w:w="1941" w:type="dxa"/>
            <w:vAlign w:val="center"/>
            <w:textDirection w:val="lrTb"/>
            <w:noWrap w:val="false"/>
          </w:tcPr>
          <w:p>
            <w:pPr>
              <w:ind w:left="-38"/>
              <w:rPr>
                <w:rFonts w:ascii="宋体" w:hAnsi="宋体" w:cs="宋体"/>
                <w:b w:val="0"/>
                <w:bCs w:val="0"/>
                <w:sz w:val="21"/>
                <w:szCs w:val="21"/>
                <w:highlight w:val="none"/>
              </w:rPr>
            </w:pPr>
            <w:r>
              <w:rPr>
                <w:rFonts w:hint="eastAsia" w:ascii="宋体" w:hAnsi="宋体" w:eastAsia="宋体" w:cs="宋体"/>
                <w:b w:val="0"/>
                <w:bCs w:val="0"/>
                <w:color w:val="auto"/>
                <w:sz w:val="21"/>
                <w:szCs w:val="21"/>
                <w:highlight w:val="none"/>
              </w:rPr>
              <w:t xml:space="preserve">根据投标文件进行评审。</w:t>
            </w:r>
            <w:r/>
          </w:p>
        </w:tc>
      </w:tr>
      <w:tr>
        <w:trPr>
          <w:jc w:val="center"/>
          <w:trHeight w:val="90"/>
        </w:trPr>
        <w:tc>
          <w:tcPr>
            <w:tcW w:w="732" w:type="dxa"/>
            <w:vAlign w:val="center"/>
            <w:textDirection w:val="lrTb"/>
            <w:noWrap w:val="false"/>
          </w:tcPr>
          <w:p>
            <w:pPr>
              <w:ind w:firstLine="28"/>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2.2</w:t>
            </w:r>
            <w:r/>
          </w:p>
        </w:tc>
        <w:tc>
          <w:tcPr>
            <w:tcW w:w="1093" w:type="dxa"/>
            <w:vAlign w:val="center"/>
            <w:textDirection w:val="lrTb"/>
            <w:noWrap w:val="false"/>
          </w:tcPr>
          <w:p>
            <w:pPr>
              <w:jc w:val="center"/>
              <w:widowControl/>
              <w:tabs>
                <w:tab w:val="left" w:pos="1200" w:leader="none"/>
              </w:tabs>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质量保障方案</w:t>
            </w:r>
            <w:r/>
          </w:p>
        </w:tc>
        <w:tc>
          <w:tcPr>
            <w:tcW w:w="783" w:type="dxa"/>
            <w:vAlign w:val="center"/>
            <w:textDirection w:val="lrTb"/>
            <w:noWrap w:val="false"/>
          </w:tcPr>
          <w:p>
            <w:pPr>
              <w:ind w:firstLine="28"/>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10</w:t>
            </w:r>
            <w:r/>
          </w:p>
        </w:tc>
        <w:tc>
          <w:tcPr>
            <w:tcW w:w="4328" w:type="dxa"/>
            <w:vAlign w:val="center"/>
            <w:textDirection w:val="lrTb"/>
            <w:noWrap w:val="false"/>
          </w:tcPr>
          <w:p>
            <w:pPr>
              <w:pStyle w:val="999"/>
              <w:jc w:val="both"/>
              <w:spacing w:before="120" w:after="120"/>
              <w:rPr>
                <w:rFonts w:hint="eastAsia"/>
                <w:b w:val="0"/>
                <w:bCs w:val="0"/>
                <w:sz w:val="21"/>
                <w:szCs w:val="21"/>
                <w:highlight w:val="none"/>
              </w:rPr>
            </w:pPr>
            <w:r>
              <w:rPr>
                <w:rFonts w:hint="eastAsia" w:ascii="Times New Roman" w:hAnsi="Times New Roman" w:eastAsia="宋体" w:cs="Times New Roman"/>
                <w:sz w:val="21"/>
                <w:szCs w:val="21"/>
                <w:highlight w:val="none"/>
              </w:rPr>
              <w:t xml:space="preserve">根据</w:t>
            </w:r>
            <w:r>
              <w:rPr>
                <w:rFonts w:hint="eastAsia" w:ascii="Times New Roman" w:hAnsi="Times New Roman" w:eastAsia="宋体" w:cs="Times New Roman"/>
                <w:sz w:val="21"/>
                <w:szCs w:val="21"/>
                <w:highlight w:val="none"/>
                <w:lang w:val="en-US" w:eastAsia="zh-CN"/>
              </w:rPr>
              <w:t xml:space="preserve">投标人</w:t>
            </w:r>
            <w:r>
              <w:rPr>
                <w:rFonts w:hint="eastAsia" w:ascii="Times New Roman" w:hAnsi="Times New Roman" w:eastAsia="宋体" w:cs="Times New Roman"/>
                <w:sz w:val="21"/>
                <w:szCs w:val="21"/>
                <w:highlight w:val="none"/>
              </w:rPr>
              <w:t xml:space="preserve">针对本项目提供的质量</w:t>
            </w:r>
            <w:r>
              <w:rPr>
                <w:rFonts w:hint="eastAsia" w:ascii="Times New Roman" w:hAnsi="Times New Roman" w:eastAsia="宋体" w:cs="Times New Roman"/>
                <w:sz w:val="21"/>
                <w:szCs w:val="21"/>
                <w:highlight w:val="none"/>
                <w:lang w:val="en-US" w:eastAsia="zh-CN"/>
              </w:rPr>
              <w:t xml:space="preserve">保障方案</w:t>
            </w:r>
            <w:r>
              <w:rPr>
                <w:rFonts w:hint="eastAsia" w:ascii="Times New Roman" w:hAnsi="Times New Roman" w:eastAsia="宋体" w:cs="Times New Roman"/>
                <w:sz w:val="21"/>
                <w:szCs w:val="21"/>
                <w:highlight w:val="none"/>
              </w:rPr>
              <w:t xml:space="preserve">（包括但不限于管理制度、质量控制计划、</w:t>
            </w:r>
            <w:r>
              <w:rPr>
                <w:rFonts w:hint="eastAsia" w:ascii="Times New Roman" w:hAnsi="Times New Roman" w:eastAsia="宋体" w:cs="Times New Roman"/>
                <w:sz w:val="21"/>
                <w:szCs w:val="21"/>
                <w:highlight w:val="none"/>
                <w:lang w:val="en-US" w:eastAsia="zh-CN"/>
              </w:rPr>
              <w:t xml:space="preserve">设备配备保障、</w:t>
            </w:r>
            <w:r>
              <w:rPr>
                <w:rFonts w:hint="eastAsia" w:ascii="Times New Roman" w:hAnsi="Times New Roman" w:eastAsia="宋体" w:cs="Times New Roman"/>
                <w:sz w:val="21"/>
                <w:szCs w:val="21"/>
                <w:highlight w:val="none"/>
              </w:rPr>
              <w:t xml:space="preserve">内部审核制度、成果保证措施</w:t>
            </w:r>
            <w:r>
              <w:rPr>
                <w:rFonts w:hint="eastAsia" w:cs="Times New Roman"/>
                <w:sz w:val="21"/>
                <w:szCs w:val="21"/>
                <w:highlight w:val="none"/>
                <w:lang w:val="en-US" w:eastAsia="zh-CN"/>
              </w:rPr>
              <w:t xml:space="preserve">等</w:t>
            </w:r>
            <w:r>
              <w:rPr>
                <w:rFonts w:hint="eastAsia" w:ascii="Times New Roman" w:hAnsi="Times New Roman" w:eastAsia="宋体" w:cs="Times New Roman"/>
                <w:sz w:val="21"/>
                <w:szCs w:val="21"/>
                <w:highlight w:val="none"/>
              </w:rPr>
              <w:t xml:space="preserve">）内容进行综合</w:t>
            </w:r>
            <w:r>
              <w:rPr>
                <w:rFonts w:hint="eastAsia" w:ascii="Times New Roman" w:hAnsi="Times New Roman" w:eastAsia="宋体" w:cs="Times New Roman"/>
                <w:sz w:val="21"/>
                <w:szCs w:val="21"/>
                <w:highlight w:val="none"/>
                <w:lang w:val="en-US" w:eastAsia="zh-CN"/>
              </w:rPr>
              <w:t xml:space="preserve">评审：方案</w:t>
            </w:r>
            <w:r>
              <w:rPr>
                <w:rFonts w:hint="eastAsia" w:ascii="Times New Roman" w:hAnsi="Times New Roman" w:eastAsia="宋体" w:cs="Times New Roman"/>
                <w:sz w:val="21"/>
                <w:szCs w:val="21"/>
                <w:highlight w:val="none"/>
              </w:rPr>
              <w:t xml:space="preserve">具体全面、可行性高，能完全满足项目实施要求</w:t>
            </w:r>
            <w:r>
              <w:rPr>
                <w:rFonts w:hint="eastAsia" w:ascii="Times New Roman" w:hAnsi="Times New Roman" w:eastAsia="宋体" w:cs="Times New Roman"/>
                <w:sz w:val="21"/>
                <w:szCs w:val="21"/>
                <w:highlight w:val="none"/>
                <w:lang w:val="en-US" w:eastAsia="zh-CN"/>
              </w:rPr>
              <w:t xml:space="preserve">的</w:t>
            </w:r>
            <w:r>
              <w:rPr>
                <w:rFonts w:hint="eastAsia" w:ascii="Times New Roman" w:hAnsi="Times New Roman" w:eastAsia="宋体" w:cs="Times New Roman"/>
                <w:sz w:val="21"/>
                <w:szCs w:val="21"/>
                <w:highlight w:val="none"/>
              </w:rPr>
              <w:t xml:space="preserve">得</w:t>
            </w:r>
            <w:r>
              <w:rPr>
                <w:rFonts w:hint="eastAsia" w:ascii="Times New Roman" w:hAnsi="Times New Roman" w:eastAsia="宋体" w:cs="Times New Roman"/>
                <w:sz w:val="21"/>
                <w:szCs w:val="21"/>
                <w:highlight w:val="none"/>
                <w:lang w:val="en-US" w:eastAsia="zh-CN"/>
              </w:rPr>
              <w:t xml:space="preserve">10</w:t>
            </w:r>
            <w:r>
              <w:rPr>
                <w:rFonts w:hint="eastAsia" w:ascii="Times New Roman" w:hAnsi="Times New Roman" w:eastAsia="宋体" w:cs="Times New Roman"/>
                <w:sz w:val="21"/>
                <w:szCs w:val="21"/>
                <w:highlight w:val="none"/>
              </w:rPr>
              <w:t xml:space="preserve">分；内容较为具体全面，可行性较高，能基本满足项目实施要求</w:t>
            </w:r>
            <w:r>
              <w:rPr>
                <w:rFonts w:hint="eastAsia" w:ascii="Times New Roman" w:hAnsi="Times New Roman" w:eastAsia="宋体" w:cs="Times New Roman"/>
                <w:sz w:val="21"/>
                <w:szCs w:val="21"/>
                <w:highlight w:val="none"/>
                <w:lang w:val="en-US" w:eastAsia="zh-CN"/>
              </w:rPr>
              <w:t xml:space="preserve">的</w:t>
            </w:r>
            <w:r>
              <w:rPr>
                <w:rFonts w:hint="eastAsia" w:ascii="Times New Roman" w:hAnsi="Times New Roman" w:eastAsia="宋体" w:cs="Times New Roman"/>
                <w:sz w:val="21"/>
                <w:szCs w:val="21"/>
                <w:highlight w:val="none"/>
              </w:rPr>
              <w:t xml:space="preserve">得 </w:t>
            </w:r>
            <w:r>
              <w:rPr>
                <w:rFonts w:hint="eastAsia" w:ascii="Times New Roman" w:hAnsi="Times New Roman" w:eastAsia="宋体" w:cs="Times New Roman"/>
                <w:sz w:val="21"/>
                <w:szCs w:val="21"/>
                <w:highlight w:val="none"/>
                <w:lang w:val="en-US" w:eastAsia="zh-CN"/>
              </w:rPr>
              <w:t xml:space="preserve">8</w:t>
            </w:r>
            <w:r>
              <w:rPr>
                <w:rFonts w:hint="eastAsia" w:ascii="Times New Roman" w:hAnsi="Times New Roman" w:eastAsia="宋体" w:cs="Times New Roman"/>
                <w:sz w:val="21"/>
                <w:szCs w:val="21"/>
                <w:highlight w:val="none"/>
              </w:rPr>
              <w:t xml:space="preserve">分；内容一般，不够具体全面，部分满足项目实施要求</w:t>
            </w:r>
            <w:r>
              <w:rPr>
                <w:rFonts w:hint="eastAsia" w:ascii="Times New Roman" w:hAnsi="Times New Roman" w:eastAsia="宋体" w:cs="Times New Roman"/>
                <w:sz w:val="21"/>
                <w:szCs w:val="21"/>
                <w:highlight w:val="none"/>
                <w:lang w:val="en-US" w:eastAsia="zh-CN"/>
              </w:rPr>
              <w:t xml:space="preserve">的</w:t>
            </w:r>
            <w:r>
              <w:rPr>
                <w:rFonts w:hint="eastAsia" w:ascii="Times New Roman" w:hAnsi="Times New Roman" w:eastAsia="宋体" w:cs="Times New Roman"/>
                <w:sz w:val="21"/>
                <w:szCs w:val="21"/>
                <w:highlight w:val="none"/>
              </w:rPr>
              <w:t xml:space="preserve">得 </w:t>
            </w:r>
            <w:r>
              <w:rPr>
                <w:rFonts w:hint="eastAsia" w:ascii="Times New Roman" w:hAnsi="Times New Roman" w:eastAsia="宋体" w:cs="Times New Roman"/>
                <w:sz w:val="21"/>
                <w:szCs w:val="21"/>
                <w:highlight w:val="none"/>
                <w:lang w:val="en-US" w:eastAsia="zh-CN"/>
              </w:rPr>
              <w:t xml:space="preserve">5</w:t>
            </w:r>
            <w:r>
              <w:rPr>
                <w:rFonts w:hint="eastAsia" w:ascii="Times New Roman" w:hAnsi="Times New Roman" w:eastAsia="宋体" w:cs="Times New Roman"/>
                <w:sz w:val="21"/>
                <w:szCs w:val="21"/>
                <w:highlight w:val="none"/>
              </w:rPr>
              <w:t xml:space="preserve">分；不能满足采购人要求，且没有具体可操作性的得</w:t>
            </w:r>
            <w:r>
              <w:rPr>
                <w:rFonts w:hint="eastAsia" w:ascii="Times New Roman" w:hAnsi="Times New Roman" w:eastAsia="宋体" w:cs="Times New Roman"/>
                <w:sz w:val="21"/>
                <w:szCs w:val="21"/>
                <w:highlight w:val="none"/>
                <w:lang w:val="en-US" w:eastAsia="zh-CN"/>
              </w:rPr>
              <w:t xml:space="preserve">2</w:t>
            </w:r>
            <w:r>
              <w:rPr>
                <w:rFonts w:hint="eastAsia" w:ascii="Times New Roman" w:hAnsi="Times New Roman" w:eastAsia="宋体" w:cs="Times New Roman"/>
                <w:sz w:val="21"/>
                <w:szCs w:val="21"/>
                <w:highlight w:val="none"/>
              </w:rPr>
              <w:t xml:space="preserve">分；未提供不得分。</w:t>
            </w:r>
            <w:r/>
          </w:p>
        </w:tc>
        <w:tc>
          <w:tcPr>
            <w:tcW w:w="1941" w:type="dxa"/>
            <w:vAlign w:val="center"/>
            <w:textDirection w:val="lrTb"/>
            <w:noWrap w:val="false"/>
          </w:tcPr>
          <w:p>
            <w:pPr>
              <w:ind w:left="-38"/>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根据投标文件进行评审。</w:t>
            </w:r>
            <w:r/>
          </w:p>
        </w:tc>
      </w:tr>
      <w:tr>
        <w:trPr>
          <w:jc w:val="center"/>
          <w:trHeight w:val="991"/>
        </w:trPr>
        <w:tc>
          <w:tcPr>
            <w:tcW w:w="732" w:type="dxa"/>
            <w:vAlign w:val="center"/>
            <w:textDirection w:val="lrTb"/>
            <w:noWrap w:val="false"/>
          </w:tcPr>
          <w:p>
            <w:pPr>
              <w:ind w:firstLine="28"/>
              <w:jc w:val="center"/>
              <w:rPr>
                <w:rFonts w:hint="eastAsia" w:ascii="宋体" w:hAnsi="宋体" w:eastAsia="宋体" w:cs="宋体"/>
                <w:bCs/>
                <w:sz w:val="21"/>
                <w:szCs w:val="21"/>
                <w:highlight w:val="none"/>
                <w:lang w:eastAsia="zh-CN"/>
              </w:rPr>
            </w:pPr>
            <w:r>
              <w:rPr>
                <w:rFonts w:hint="eastAsia" w:ascii="宋体" w:hAnsi="宋体" w:cs="宋体"/>
                <w:bCs/>
                <w:sz w:val="21"/>
                <w:szCs w:val="21"/>
                <w:highlight w:val="none"/>
              </w:rPr>
              <w:t xml:space="preserve">2.</w:t>
            </w:r>
            <w:r>
              <w:rPr>
                <w:rFonts w:hint="eastAsia" w:ascii="宋体" w:hAnsi="宋体" w:cs="宋体"/>
                <w:bCs/>
                <w:sz w:val="21"/>
                <w:szCs w:val="21"/>
                <w:highlight w:val="none"/>
                <w:lang w:val="en-US" w:eastAsia="zh-CN"/>
              </w:rPr>
              <w:t xml:space="preserve">3</w:t>
            </w:r>
            <w:r/>
          </w:p>
        </w:tc>
        <w:tc>
          <w:tcPr>
            <w:tcW w:w="1093" w:type="dxa"/>
            <w:vAlign w:val="center"/>
            <w:textDirection w:val="lrTb"/>
            <w:noWrap w:val="false"/>
          </w:tcPr>
          <w:p>
            <w:pPr>
              <w:jc w:val="center"/>
              <w:spacing w:line="360" w:lineRule="auto"/>
              <w:rPr>
                <w:rFonts w:ascii="宋体" w:hAnsi="宋体" w:cs="宋体"/>
                <w:bCs/>
                <w:sz w:val="21"/>
                <w:szCs w:val="21"/>
                <w:highlight w:val="none"/>
                <w:lang w:val="zh-Hans"/>
              </w:rPr>
            </w:pPr>
            <w:r>
              <w:rPr>
                <w:rFonts w:hint="eastAsia" w:ascii="宋体" w:hAnsi="宋体" w:cs="宋体"/>
                <w:sz w:val="21"/>
                <w:szCs w:val="21"/>
                <w:highlight w:val="none"/>
                <w:lang w:val="zh-Hans"/>
              </w:rPr>
              <w:t xml:space="preserve">人员配备方案</w:t>
            </w:r>
            <w:r/>
          </w:p>
        </w:tc>
        <w:tc>
          <w:tcPr>
            <w:tcW w:w="783" w:type="dxa"/>
            <w:vAlign w:val="center"/>
            <w:textDirection w:val="lrTb"/>
            <w:noWrap w:val="false"/>
          </w:tcPr>
          <w:p>
            <w:pPr>
              <w:jc w:val="center"/>
              <w:spacing w:line="360" w:lineRule="auto"/>
              <w:tabs>
                <w:tab w:val="left" w:pos="1200" w:leader="none"/>
              </w:tabs>
              <w:rPr>
                <w:rFonts w:ascii="宋体" w:hAnsi="宋体" w:cs="宋体"/>
                <w:bCs/>
                <w:sz w:val="21"/>
                <w:szCs w:val="21"/>
                <w:highlight w:val="none"/>
              </w:rPr>
            </w:pPr>
            <w:r>
              <w:rPr>
                <w:rFonts w:hint="eastAsia" w:ascii="宋体" w:hAnsi="宋体" w:eastAsia="宋体" w:cs="宋体"/>
                <w:sz w:val="21"/>
                <w:szCs w:val="21"/>
                <w:highlight w:val="none"/>
                <w:lang w:val="en-US" w:eastAsia="zh-CN"/>
              </w:rPr>
              <w:t xml:space="preserve">5</w:t>
            </w:r>
            <w:r/>
          </w:p>
        </w:tc>
        <w:tc>
          <w:tcPr>
            <w:tcW w:w="4328" w:type="dxa"/>
            <w:vAlign w:val="center"/>
            <w:textDirection w:val="lrTb"/>
            <w:noWrap w:val="false"/>
          </w:tcPr>
          <w:p>
            <w:pPr>
              <w:pStyle w:val="999"/>
              <w:jc w:val="both"/>
              <w:spacing w:before="120" w:after="120"/>
              <w:rPr>
                <w:rFonts w:ascii="宋体" w:hAnsi="宋体" w:cs="宋体"/>
                <w:bCs/>
                <w:sz w:val="21"/>
                <w:szCs w:val="21"/>
                <w:highlight w:val="none"/>
              </w:rPr>
            </w:pPr>
            <w:r>
              <w:rPr>
                <w:rFonts w:hint="eastAsia" w:ascii="Times New Roman" w:hAnsi="Times New Roman" w:eastAsia="宋体" w:cs="Times New Roman"/>
                <w:sz w:val="21"/>
                <w:szCs w:val="21"/>
                <w:highlight w:val="none"/>
              </w:rPr>
              <w:t xml:space="preserve">根据</w:t>
            </w:r>
            <w:r>
              <w:rPr>
                <w:rFonts w:hint="eastAsia" w:ascii="Times New Roman" w:hAnsi="Times New Roman" w:eastAsia="宋体" w:cs="Times New Roman"/>
                <w:sz w:val="21"/>
                <w:szCs w:val="21"/>
                <w:highlight w:val="none"/>
                <w:lang w:val="en-US" w:eastAsia="zh-CN"/>
              </w:rPr>
              <w:t xml:space="preserve">投标人</w:t>
            </w:r>
            <w:r>
              <w:rPr>
                <w:rFonts w:hint="eastAsia" w:ascii="Times New Roman" w:hAnsi="Times New Roman" w:eastAsia="宋体" w:cs="Times New Roman"/>
                <w:sz w:val="21"/>
                <w:szCs w:val="21"/>
                <w:highlight w:val="none"/>
              </w:rPr>
              <w:t xml:space="preserve">针对本项目</w:t>
            </w:r>
            <w:r>
              <w:rPr>
                <w:rFonts w:hint="eastAsia" w:cs="Times New Roman"/>
                <w:sz w:val="21"/>
                <w:szCs w:val="21"/>
                <w:highlight w:val="none"/>
                <w:lang w:val="en-US" w:eastAsia="zh-CN"/>
              </w:rPr>
              <w:t xml:space="preserve">提供</w:t>
            </w:r>
            <w:r>
              <w:rPr>
                <w:rFonts w:hint="eastAsia" w:ascii="Times New Roman" w:hAnsi="Times New Roman" w:eastAsia="宋体" w:cs="Times New Roman"/>
                <w:sz w:val="21"/>
                <w:szCs w:val="21"/>
                <w:highlight w:val="none"/>
              </w:rPr>
              <w:t xml:space="preserve">的人员配备方案进行综合评审</w:t>
            </w:r>
            <w:r>
              <w:rPr>
                <w:rFonts w:hint="eastAsia" w:ascii="Times New Roman" w:hAnsi="Times New Roman" w:eastAsia="宋体" w:cs="Times New Roman"/>
                <w:sz w:val="21"/>
                <w:szCs w:val="21"/>
                <w:highlight w:val="none"/>
                <w:lang w:eastAsia="zh-CN"/>
              </w:rPr>
              <w:t xml:space="preserve">：</w:t>
            </w:r>
            <w:r>
              <w:rPr>
                <w:rFonts w:hint="eastAsia" w:ascii="Times New Roman" w:hAnsi="Times New Roman" w:eastAsia="宋体" w:cs="Times New Roman"/>
                <w:sz w:val="21"/>
                <w:szCs w:val="21"/>
                <w:highlight w:val="none"/>
              </w:rPr>
              <w:t xml:space="preserve">组织结构明晰、人员投入充足，成员职责明确，技术实力可靠</w:t>
            </w:r>
            <w:r>
              <w:rPr>
                <w:rFonts w:hint="eastAsia" w:ascii="Times New Roman" w:hAnsi="Times New Roman" w:eastAsia="宋体" w:cs="Times New Roman"/>
                <w:sz w:val="21"/>
                <w:szCs w:val="21"/>
                <w:highlight w:val="none"/>
                <w:lang w:val="en-US" w:eastAsia="zh-CN"/>
              </w:rPr>
              <w:t xml:space="preserve">的</w:t>
            </w:r>
            <w:r>
              <w:rPr>
                <w:rFonts w:hint="eastAsia" w:ascii="Times New Roman" w:hAnsi="Times New Roman" w:eastAsia="宋体" w:cs="Times New Roman"/>
                <w:sz w:val="21"/>
                <w:szCs w:val="21"/>
                <w:highlight w:val="none"/>
              </w:rPr>
              <w:t xml:space="preserve">得</w:t>
            </w:r>
            <w:r>
              <w:rPr>
                <w:rFonts w:hint="eastAsia" w:ascii="Times New Roman" w:hAnsi="Times New Roman" w:eastAsia="宋体" w:cs="Times New Roman"/>
                <w:sz w:val="21"/>
                <w:szCs w:val="21"/>
                <w:highlight w:val="none"/>
                <w:lang w:val="en-US" w:eastAsia="zh-CN"/>
              </w:rPr>
              <w:t xml:space="preserve">5</w:t>
            </w:r>
            <w:r>
              <w:rPr>
                <w:rFonts w:hint="eastAsia" w:ascii="Times New Roman" w:hAnsi="Times New Roman" w:eastAsia="宋体" w:cs="Times New Roman"/>
                <w:sz w:val="21"/>
                <w:szCs w:val="21"/>
                <w:highlight w:val="none"/>
              </w:rPr>
              <w:t xml:space="preserve">分；组织结构描述较好，人员投入基本充足、职责相对明确、实力较可靠</w:t>
            </w:r>
            <w:r>
              <w:rPr>
                <w:rFonts w:hint="eastAsia" w:ascii="Times New Roman" w:hAnsi="Times New Roman" w:eastAsia="宋体" w:cs="Times New Roman"/>
                <w:sz w:val="21"/>
                <w:szCs w:val="21"/>
                <w:highlight w:val="none"/>
                <w:lang w:val="en-US" w:eastAsia="zh-CN"/>
              </w:rPr>
              <w:t xml:space="preserve">的</w:t>
            </w:r>
            <w:r>
              <w:rPr>
                <w:rFonts w:hint="eastAsia" w:ascii="Times New Roman" w:hAnsi="Times New Roman" w:eastAsia="宋体" w:cs="Times New Roman"/>
                <w:sz w:val="21"/>
                <w:szCs w:val="21"/>
                <w:highlight w:val="none"/>
              </w:rPr>
              <w:t xml:space="preserve">得</w:t>
            </w:r>
            <w:r>
              <w:rPr>
                <w:rFonts w:hint="eastAsia" w:cs="Times New Roman"/>
                <w:sz w:val="21"/>
                <w:szCs w:val="21"/>
                <w:highlight w:val="none"/>
                <w:lang w:val="en-US" w:eastAsia="zh-CN"/>
              </w:rPr>
              <w:t xml:space="preserve">4</w:t>
            </w:r>
            <w:r>
              <w:rPr>
                <w:rFonts w:hint="eastAsia" w:ascii="Times New Roman" w:hAnsi="Times New Roman" w:eastAsia="宋体" w:cs="Times New Roman"/>
                <w:sz w:val="21"/>
                <w:szCs w:val="21"/>
                <w:highlight w:val="none"/>
              </w:rPr>
              <w:t xml:space="preserve">分；组织结构描述一般，人员投入基本充足、职责相对明确、实力不够可靠</w:t>
            </w:r>
            <w:r>
              <w:rPr>
                <w:rFonts w:hint="eastAsia" w:ascii="Times New Roman" w:hAnsi="Times New Roman" w:eastAsia="宋体" w:cs="Times New Roman"/>
                <w:sz w:val="21"/>
                <w:szCs w:val="21"/>
                <w:highlight w:val="none"/>
                <w:lang w:val="en-US" w:eastAsia="zh-CN"/>
              </w:rPr>
              <w:t xml:space="preserve">的</w:t>
            </w:r>
            <w:r>
              <w:rPr>
                <w:rFonts w:hint="eastAsia" w:ascii="Times New Roman" w:hAnsi="Times New Roman" w:eastAsia="宋体" w:cs="Times New Roman"/>
                <w:sz w:val="21"/>
                <w:szCs w:val="21"/>
                <w:highlight w:val="none"/>
              </w:rPr>
              <w:t xml:space="preserve">得</w:t>
            </w:r>
            <w:r>
              <w:rPr>
                <w:rFonts w:hint="eastAsia" w:ascii="Times New Roman" w:hAnsi="Times New Roman" w:eastAsia="宋体" w:cs="Times New Roman"/>
                <w:sz w:val="21"/>
                <w:szCs w:val="21"/>
                <w:highlight w:val="none"/>
                <w:lang w:val="en-US" w:eastAsia="zh-CN"/>
              </w:rPr>
              <w:t xml:space="preserve">2</w:t>
            </w:r>
            <w:r>
              <w:rPr>
                <w:rFonts w:hint="eastAsia" w:ascii="Times New Roman" w:hAnsi="Times New Roman" w:eastAsia="宋体" w:cs="Times New Roman"/>
                <w:sz w:val="21"/>
                <w:szCs w:val="21"/>
                <w:highlight w:val="none"/>
              </w:rPr>
              <w:t xml:space="preserve">分；组织机构不够明晰、人员投入不足、职责不明确、实力较差</w:t>
            </w:r>
            <w:r>
              <w:rPr>
                <w:rFonts w:hint="eastAsia" w:ascii="Times New Roman" w:hAnsi="Times New Roman" w:eastAsia="宋体" w:cs="Times New Roman"/>
                <w:sz w:val="21"/>
                <w:szCs w:val="21"/>
                <w:highlight w:val="none"/>
                <w:lang w:val="en-US" w:eastAsia="zh-CN"/>
              </w:rPr>
              <w:t xml:space="preserve">的</w:t>
            </w:r>
            <w:r>
              <w:rPr>
                <w:rFonts w:hint="eastAsia" w:ascii="Times New Roman" w:hAnsi="Times New Roman" w:eastAsia="宋体" w:cs="Times New Roman"/>
                <w:sz w:val="21"/>
                <w:szCs w:val="21"/>
                <w:highlight w:val="none"/>
              </w:rPr>
              <w:t xml:space="preserve">得1分；未提供不得分。</w:t>
            </w:r>
            <w:r/>
          </w:p>
        </w:tc>
        <w:tc>
          <w:tcPr>
            <w:tcW w:w="1941" w:type="dxa"/>
            <w:vAlign w:val="center"/>
            <w:textDirection w:val="lrTb"/>
            <w:noWrap w:val="false"/>
          </w:tcPr>
          <w:p>
            <w:pPr>
              <w:ind w:left="-38"/>
              <w:rPr>
                <w:rFonts w:ascii="宋体" w:hAnsi="宋体" w:cs="宋体"/>
                <w:b w:val="0"/>
                <w:bCs w:val="0"/>
                <w:sz w:val="21"/>
                <w:szCs w:val="21"/>
                <w:highlight w:val="none"/>
              </w:rPr>
            </w:pPr>
            <w:r>
              <w:rPr>
                <w:rFonts w:hint="eastAsia" w:ascii="宋体" w:hAnsi="宋体" w:eastAsia="宋体" w:cs="宋体"/>
                <w:b w:val="0"/>
                <w:bCs w:val="0"/>
                <w:color w:val="auto"/>
                <w:sz w:val="21"/>
                <w:szCs w:val="21"/>
                <w:highlight w:val="none"/>
              </w:rPr>
              <w:t xml:space="preserve">根据投标文件进行评审。</w:t>
            </w:r>
            <w:r/>
          </w:p>
        </w:tc>
      </w:tr>
      <w:tr>
        <w:trPr>
          <w:jc w:val="center"/>
          <w:trHeight w:val="1543"/>
        </w:trPr>
        <w:tc>
          <w:tcPr>
            <w:tcW w:w="732" w:type="dxa"/>
            <w:vAlign w:val="center"/>
            <w:textDirection w:val="lrTb"/>
            <w:noWrap w:val="false"/>
          </w:tcPr>
          <w:p>
            <w:pPr>
              <w:ind w:firstLine="28"/>
              <w:jc w:val="center"/>
              <w:rPr>
                <w:rFonts w:hint="eastAsia" w:ascii="宋体" w:hAnsi="宋体" w:eastAsia="宋体" w:cs="宋体"/>
                <w:bCs/>
                <w:sz w:val="21"/>
                <w:szCs w:val="21"/>
                <w:highlight w:val="none"/>
                <w:lang w:eastAsia="zh-CN"/>
              </w:rPr>
            </w:pPr>
            <w:r>
              <w:rPr>
                <w:rFonts w:hint="eastAsia" w:ascii="宋体" w:hAnsi="宋体" w:cs="宋体"/>
                <w:bCs/>
                <w:sz w:val="21"/>
                <w:szCs w:val="21"/>
                <w:highlight w:val="none"/>
              </w:rPr>
              <w:t xml:space="preserve">2.</w:t>
            </w:r>
            <w:r>
              <w:rPr>
                <w:rFonts w:hint="eastAsia" w:ascii="宋体" w:hAnsi="宋体" w:cs="宋体"/>
                <w:bCs/>
                <w:sz w:val="21"/>
                <w:szCs w:val="21"/>
                <w:highlight w:val="none"/>
                <w:lang w:val="en-US" w:eastAsia="zh-CN"/>
              </w:rPr>
              <w:t xml:space="preserve">4</w:t>
            </w:r>
            <w:r/>
          </w:p>
        </w:tc>
        <w:tc>
          <w:tcPr>
            <w:tcW w:w="1093" w:type="dxa"/>
            <w:vAlign w:val="center"/>
            <w:textDirection w:val="lrTb"/>
            <w:noWrap w:val="false"/>
          </w:tcPr>
          <w:p>
            <w:pPr>
              <w:jc w:val="center"/>
              <w:widowControl/>
              <w:tabs>
                <w:tab w:val="left" w:pos="1200" w:leader="none"/>
              </w:tabs>
              <w:rPr>
                <w:rFonts w:ascii="宋体" w:hAnsi="宋体" w:cs="宋体"/>
                <w:bCs/>
                <w:sz w:val="21"/>
                <w:szCs w:val="21"/>
                <w:highlight w:val="none"/>
                <w:lang w:val="zh-Hans"/>
              </w:rPr>
            </w:pPr>
            <w:r>
              <w:rPr>
                <w:rFonts w:hint="eastAsia" w:ascii="宋体" w:hAnsi="宋体" w:cs="宋体"/>
                <w:bCs/>
                <w:sz w:val="21"/>
                <w:szCs w:val="21"/>
                <w:highlight w:val="none"/>
              </w:rPr>
              <w:t xml:space="preserve">后续服务</w:t>
            </w:r>
            <w:r/>
          </w:p>
        </w:tc>
        <w:tc>
          <w:tcPr>
            <w:tcW w:w="783" w:type="dxa"/>
            <w:vAlign w:val="center"/>
            <w:textDirection w:val="lrTb"/>
            <w:noWrap w:val="false"/>
          </w:tcPr>
          <w:p>
            <w:pPr>
              <w:ind w:firstLine="28"/>
              <w:jc w:val="center"/>
              <w:rPr>
                <w:rFonts w:ascii="宋体" w:hAnsi="宋体" w:cs="宋体"/>
                <w:bCs/>
                <w:sz w:val="21"/>
                <w:szCs w:val="21"/>
                <w:highlight w:val="none"/>
              </w:rPr>
            </w:pPr>
            <w:r>
              <w:rPr>
                <w:rFonts w:ascii="宋体" w:hAnsi="宋体" w:cs="宋体"/>
                <w:bCs/>
                <w:sz w:val="21"/>
                <w:szCs w:val="21"/>
                <w:highlight w:val="none"/>
              </w:rPr>
              <w:t xml:space="preserve">5</w:t>
            </w:r>
            <w:r/>
          </w:p>
        </w:tc>
        <w:tc>
          <w:tcPr>
            <w:tcW w:w="4328" w:type="dxa"/>
            <w:vAlign w:val="center"/>
            <w:textDirection w:val="lrTb"/>
            <w:noWrap w:val="false"/>
          </w:tcPr>
          <w:p>
            <w:pPr>
              <w:rPr>
                <w:rFonts w:ascii="宋体" w:hAnsi="宋体" w:cs="宋体"/>
                <w:bCs/>
                <w:sz w:val="21"/>
                <w:szCs w:val="21"/>
                <w:highlight w:val="none"/>
                <w:lang w:val="zh-Hans"/>
              </w:rPr>
            </w:pPr>
            <w:r>
              <w:rPr>
                <w:rFonts w:hint="eastAsia" w:ascii="宋体" w:hAnsi="宋体" w:cs="宋体"/>
                <w:bCs/>
                <w:sz w:val="21"/>
                <w:szCs w:val="21"/>
                <w:highlight w:val="none"/>
              </w:rPr>
              <w:t xml:space="preserve">根据投标人</w:t>
            </w:r>
            <w:r>
              <w:rPr>
                <w:rFonts w:hint="eastAsia" w:ascii="Times New Roman" w:hAnsi="Times New Roman" w:eastAsia="宋体" w:cs="Times New Roman"/>
                <w:sz w:val="21"/>
                <w:szCs w:val="21"/>
                <w:highlight w:val="none"/>
              </w:rPr>
              <w:t xml:space="preserve">针对本项目</w:t>
            </w:r>
            <w:r>
              <w:rPr>
                <w:rFonts w:hint="eastAsia" w:ascii="宋体" w:hAnsi="宋体" w:cs="宋体"/>
                <w:bCs/>
                <w:sz w:val="21"/>
                <w:szCs w:val="21"/>
                <w:highlight w:val="none"/>
              </w:rPr>
              <w:t xml:space="preserve">提供的后续服务内容（包括资料整理、</w:t>
            </w:r>
            <w:r>
              <w:rPr>
                <w:rFonts w:hint="eastAsia" w:ascii="宋体" w:hAnsi="宋体" w:cs="宋体"/>
                <w:bCs/>
                <w:sz w:val="21"/>
                <w:szCs w:val="21"/>
                <w:highlight w:val="none"/>
                <w:lang w:val="en-US" w:eastAsia="zh-CN"/>
              </w:rPr>
              <w:t xml:space="preserve">合理化</w:t>
            </w:r>
            <w:r>
              <w:rPr>
                <w:rFonts w:hint="eastAsia" w:ascii="宋体" w:hAnsi="宋体" w:cs="宋体"/>
                <w:bCs/>
                <w:sz w:val="21"/>
                <w:szCs w:val="21"/>
                <w:highlight w:val="none"/>
              </w:rPr>
              <w:t xml:space="preserve">建议</w:t>
            </w: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lang w:val="en-US" w:eastAsia="zh-CN"/>
              </w:rPr>
              <w:t xml:space="preserve">增值服务</w:t>
            </w:r>
            <w:r>
              <w:rPr>
                <w:rFonts w:hint="eastAsia" w:ascii="宋体" w:hAnsi="宋体" w:cs="宋体"/>
                <w:bCs/>
                <w:sz w:val="21"/>
                <w:szCs w:val="21"/>
                <w:highlight w:val="none"/>
              </w:rPr>
              <w:t xml:space="preserve">等）进行综合评审：内容完整</w:t>
            </w:r>
            <w:r>
              <w:rPr>
                <w:rFonts w:hint="eastAsia" w:ascii="宋体" w:hAnsi="宋体" w:cs="宋体"/>
                <w:bCs/>
                <w:sz w:val="21"/>
                <w:szCs w:val="21"/>
                <w:highlight w:val="none"/>
                <w:lang w:val="en-US" w:eastAsia="zh-CN"/>
              </w:rPr>
              <w:t xml:space="preserve">合理</w:t>
            </w:r>
            <w:r>
              <w:rPr>
                <w:rFonts w:hint="eastAsia" w:ascii="宋体" w:hAnsi="宋体" w:cs="宋体"/>
                <w:bCs/>
                <w:sz w:val="21"/>
                <w:szCs w:val="21"/>
                <w:highlight w:val="none"/>
              </w:rPr>
              <w:t xml:space="preserve">且具体可行的得</w:t>
            </w:r>
            <w:r>
              <w:rPr>
                <w:rFonts w:ascii="宋体" w:hAnsi="宋体" w:cs="宋体"/>
                <w:bCs/>
                <w:sz w:val="21"/>
                <w:szCs w:val="21"/>
                <w:highlight w:val="none"/>
              </w:rPr>
              <w:t xml:space="preserve">5</w:t>
            </w:r>
            <w:r>
              <w:rPr>
                <w:rFonts w:hint="eastAsia" w:ascii="宋体" w:hAnsi="宋体" w:cs="宋体"/>
                <w:bCs/>
                <w:sz w:val="21"/>
                <w:szCs w:val="21"/>
                <w:highlight w:val="none"/>
              </w:rPr>
              <w:t xml:space="preserve">分；内容</w:t>
            </w:r>
            <w:r>
              <w:rPr>
                <w:rFonts w:hint="eastAsia" w:ascii="宋体" w:hAnsi="宋体" w:cs="宋体"/>
                <w:bCs/>
                <w:sz w:val="21"/>
                <w:szCs w:val="21"/>
                <w:highlight w:val="none"/>
                <w:lang w:val="en-US" w:eastAsia="zh-CN"/>
              </w:rPr>
              <w:t xml:space="preserve">较</w:t>
            </w:r>
            <w:r>
              <w:rPr>
                <w:rFonts w:hint="eastAsia" w:ascii="宋体" w:hAnsi="宋体" w:cs="宋体"/>
                <w:bCs/>
                <w:sz w:val="21"/>
                <w:szCs w:val="21"/>
                <w:highlight w:val="none"/>
              </w:rPr>
              <w:t xml:space="preserve">完整</w:t>
            </w: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lang w:val="en-US" w:eastAsia="zh-CN"/>
              </w:rPr>
              <w:t xml:space="preserve">可操作性较强</w:t>
            </w:r>
            <w:r>
              <w:rPr>
                <w:rFonts w:hint="eastAsia" w:ascii="宋体" w:hAnsi="宋体" w:cs="宋体"/>
                <w:bCs/>
                <w:sz w:val="21"/>
                <w:szCs w:val="21"/>
                <w:highlight w:val="none"/>
              </w:rPr>
              <w:t xml:space="preserve">的得</w:t>
            </w:r>
            <w:r>
              <w:rPr>
                <w:rFonts w:hint="eastAsia" w:ascii="宋体" w:hAnsi="宋体" w:cs="宋体"/>
                <w:bCs/>
                <w:sz w:val="21"/>
                <w:szCs w:val="21"/>
                <w:highlight w:val="none"/>
                <w:lang w:val="en-US" w:eastAsia="zh-CN"/>
              </w:rPr>
              <w:t xml:space="preserve">4</w:t>
            </w:r>
            <w:r>
              <w:rPr>
                <w:rFonts w:hint="eastAsia" w:ascii="宋体" w:hAnsi="宋体" w:cs="宋体"/>
                <w:bCs/>
                <w:sz w:val="21"/>
                <w:szCs w:val="21"/>
                <w:highlight w:val="none"/>
              </w:rPr>
              <w:t xml:space="preserve">分</w:t>
            </w: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rPr>
              <w:t xml:space="preserve">内容基本满足要求，可操作性一般的得</w:t>
            </w:r>
            <w:r>
              <w:rPr>
                <w:rFonts w:hint="eastAsia" w:ascii="宋体" w:hAnsi="宋体" w:cs="宋体"/>
                <w:bCs/>
                <w:sz w:val="21"/>
                <w:szCs w:val="21"/>
                <w:highlight w:val="none"/>
                <w:lang w:val="en-US" w:eastAsia="zh-CN"/>
              </w:rPr>
              <w:t xml:space="preserve">2</w:t>
            </w:r>
            <w:r>
              <w:rPr>
                <w:rFonts w:hint="eastAsia" w:ascii="宋体" w:hAnsi="宋体" w:cs="宋体"/>
                <w:bCs/>
                <w:sz w:val="21"/>
                <w:szCs w:val="21"/>
                <w:highlight w:val="none"/>
              </w:rPr>
              <w:t xml:space="preserve">分；</w:t>
            </w:r>
            <w:r>
              <w:rPr>
                <w:rFonts w:hint="eastAsia" w:ascii="宋体" w:hAnsi="宋体" w:cs="宋体"/>
                <w:bCs/>
                <w:sz w:val="21"/>
                <w:szCs w:val="21"/>
                <w:highlight w:val="none"/>
                <w:lang w:val="en-US" w:eastAsia="zh-CN"/>
              </w:rPr>
              <w:t xml:space="preserve">内容</w:t>
            </w:r>
            <w:r>
              <w:rPr>
                <w:rFonts w:hint="eastAsia" w:ascii="宋体" w:hAnsi="宋体" w:cs="宋体"/>
                <w:bCs/>
                <w:sz w:val="21"/>
                <w:szCs w:val="21"/>
                <w:highlight w:val="none"/>
              </w:rPr>
              <w:t xml:space="preserve">简单、缺项较多，可操作性差的得</w:t>
            </w:r>
            <w:r>
              <w:rPr>
                <w:rFonts w:hint="eastAsia" w:ascii="宋体" w:hAnsi="宋体" w:cs="宋体"/>
                <w:bCs/>
                <w:sz w:val="21"/>
                <w:szCs w:val="21"/>
                <w:highlight w:val="none"/>
                <w:lang w:val="en-US" w:eastAsia="zh-CN"/>
              </w:rPr>
              <w:t xml:space="preserve">1</w:t>
            </w:r>
            <w:r>
              <w:rPr>
                <w:rFonts w:hint="eastAsia" w:ascii="宋体" w:hAnsi="宋体" w:cs="宋体"/>
                <w:bCs/>
                <w:sz w:val="21"/>
                <w:szCs w:val="21"/>
                <w:highlight w:val="none"/>
              </w:rPr>
              <w:t xml:space="preserve">分；未提供不得分。</w:t>
            </w:r>
            <w:r/>
          </w:p>
        </w:tc>
        <w:tc>
          <w:tcPr>
            <w:tcW w:w="1941" w:type="dxa"/>
            <w:vAlign w:val="center"/>
            <w:textDirection w:val="lrTb"/>
            <w:noWrap w:val="false"/>
          </w:tcPr>
          <w:p>
            <w:pPr>
              <w:ind w:left="-38"/>
              <w:rPr>
                <w:rFonts w:ascii="宋体" w:hAnsi="宋体" w:cs="宋体"/>
                <w:b w:val="0"/>
                <w:bCs w:val="0"/>
                <w:sz w:val="21"/>
                <w:szCs w:val="21"/>
                <w:highlight w:val="none"/>
                <w:lang w:eastAsia="zh-Hans"/>
              </w:rPr>
            </w:pPr>
            <w:r>
              <w:rPr>
                <w:rFonts w:hint="eastAsia" w:ascii="宋体" w:hAnsi="宋体" w:eastAsia="宋体" w:cs="宋体"/>
                <w:b w:val="0"/>
                <w:bCs w:val="0"/>
                <w:color w:val="auto"/>
                <w:sz w:val="21"/>
                <w:szCs w:val="21"/>
                <w:highlight w:val="none"/>
              </w:rPr>
              <w:t xml:space="preserve">根据投标文件进行评审。</w:t>
            </w:r>
            <w:r/>
          </w:p>
        </w:tc>
      </w:tr>
      <w:tr>
        <w:trPr>
          <w:jc w:val="center"/>
          <w:trHeight w:val="177"/>
        </w:trPr>
        <w:tc>
          <w:tcPr>
            <w:tcW w:w="732" w:type="dxa"/>
            <w:vAlign w:val="center"/>
            <w:textDirection w:val="lrTb"/>
            <w:noWrap w:val="false"/>
          </w:tcPr>
          <w:p>
            <w:pPr>
              <w:ind w:firstLine="28"/>
              <w:jc w:val="center"/>
              <w:rPr>
                <w:rFonts w:hint="eastAsia" w:ascii="宋体" w:hAnsi="宋体" w:eastAsia="宋体" w:cs="宋体"/>
                <w:bCs/>
                <w:sz w:val="21"/>
                <w:szCs w:val="21"/>
                <w:highlight w:val="none"/>
                <w:lang w:eastAsia="zh-CN"/>
              </w:rPr>
            </w:pPr>
            <w:r>
              <w:rPr>
                <w:rFonts w:hint="eastAsia" w:ascii="宋体" w:hAnsi="宋体" w:cs="宋体"/>
                <w:bCs/>
                <w:sz w:val="21"/>
                <w:szCs w:val="21"/>
                <w:highlight w:val="none"/>
              </w:rPr>
              <w:t xml:space="preserve">2.</w:t>
            </w:r>
            <w:r>
              <w:rPr>
                <w:rFonts w:hint="eastAsia" w:ascii="宋体" w:hAnsi="宋体" w:cs="宋体"/>
                <w:bCs/>
                <w:sz w:val="21"/>
                <w:szCs w:val="21"/>
                <w:highlight w:val="none"/>
                <w:lang w:val="en-US" w:eastAsia="zh-CN"/>
              </w:rPr>
              <w:t xml:space="preserve">5</w:t>
            </w:r>
            <w:r/>
          </w:p>
        </w:tc>
        <w:tc>
          <w:tcPr>
            <w:tcW w:w="1093" w:type="dxa"/>
            <w:vAlign w:val="center"/>
            <w:textDirection w:val="lrTb"/>
            <w:noWrap w:val="false"/>
          </w:tcPr>
          <w:p>
            <w:pPr>
              <w:jc w:val="center"/>
              <w:widowControl/>
              <w:tabs>
                <w:tab w:val="left" w:pos="1200" w:leader="none"/>
              </w:tabs>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rPr>
              <w:t xml:space="preserve">应急响应</w:t>
            </w:r>
            <w:r>
              <w:rPr>
                <w:rFonts w:hint="eastAsia" w:ascii="宋体" w:hAnsi="宋体" w:cs="宋体"/>
                <w:bCs/>
                <w:sz w:val="21"/>
                <w:szCs w:val="21"/>
                <w:highlight w:val="none"/>
                <w:lang w:val="en-US" w:eastAsia="zh-CN"/>
              </w:rPr>
              <w:t xml:space="preserve">方案</w:t>
            </w:r>
            <w:r/>
          </w:p>
        </w:tc>
        <w:tc>
          <w:tcPr>
            <w:tcW w:w="783" w:type="dxa"/>
            <w:vAlign w:val="center"/>
            <w:textDirection w:val="lrTb"/>
            <w:noWrap w:val="false"/>
          </w:tcPr>
          <w:p>
            <w:pPr>
              <w:ind w:firstLine="28"/>
              <w:jc w:val="center"/>
              <w:rPr>
                <w:rFonts w:ascii="宋体" w:hAnsi="宋体" w:cs="宋体"/>
                <w:bCs/>
                <w:sz w:val="21"/>
                <w:szCs w:val="21"/>
                <w:highlight w:val="none"/>
              </w:rPr>
            </w:pPr>
            <w:r>
              <w:rPr>
                <w:rFonts w:ascii="宋体" w:hAnsi="宋体" w:cs="宋体"/>
                <w:bCs/>
                <w:sz w:val="21"/>
                <w:szCs w:val="21"/>
                <w:highlight w:val="none"/>
              </w:rPr>
              <w:t xml:space="preserve">5</w:t>
            </w:r>
            <w:r/>
          </w:p>
        </w:tc>
        <w:tc>
          <w:tcPr>
            <w:tcW w:w="4328" w:type="dxa"/>
            <w:vAlign w:val="center"/>
            <w:textDirection w:val="lrTb"/>
            <w:noWrap w:val="false"/>
          </w:tcPr>
          <w:p>
            <w:pPr>
              <w:rPr>
                <w:rFonts w:ascii="宋体" w:hAnsi="宋体" w:cs="宋体"/>
                <w:bCs/>
                <w:sz w:val="21"/>
                <w:szCs w:val="21"/>
                <w:highlight w:val="none"/>
              </w:rPr>
            </w:pPr>
            <w:r>
              <w:rPr>
                <w:rFonts w:hint="eastAsia" w:ascii="宋体" w:hAnsi="宋体" w:cs="宋体"/>
                <w:bCs/>
                <w:sz w:val="21"/>
                <w:szCs w:val="21"/>
                <w:highlight w:val="none"/>
              </w:rPr>
              <w:t xml:space="preserve">根据投标人</w:t>
            </w:r>
            <w:r>
              <w:rPr>
                <w:rFonts w:hint="eastAsia" w:ascii="Times New Roman" w:hAnsi="Times New Roman" w:eastAsia="宋体" w:cs="Times New Roman"/>
                <w:sz w:val="21"/>
                <w:szCs w:val="21"/>
                <w:highlight w:val="none"/>
              </w:rPr>
              <w:t xml:space="preserve">针对本项目</w:t>
            </w:r>
            <w:r>
              <w:rPr>
                <w:rFonts w:hint="eastAsia" w:ascii="宋体" w:hAnsi="宋体" w:cs="宋体"/>
                <w:bCs/>
                <w:sz w:val="21"/>
                <w:szCs w:val="21"/>
                <w:highlight w:val="none"/>
              </w:rPr>
              <w:t xml:space="preserve">提供的应急响应方案（包括</w:t>
            </w:r>
            <w:r>
              <w:rPr>
                <w:rFonts w:hint="eastAsia" w:cs="宋体" w:asciiTheme="minorEastAsia" w:hAnsiTheme="minorEastAsia"/>
                <w:szCs w:val="21"/>
                <w:highlight w:val="none"/>
              </w:rPr>
              <w:t xml:space="preserve">应急</w:t>
            </w:r>
            <w:r>
              <w:rPr>
                <w:rFonts w:hint="eastAsia" w:cs="宋体" w:asciiTheme="minorEastAsia" w:hAnsiTheme="minorEastAsia"/>
                <w:szCs w:val="21"/>
                <w:highlight w:val="none"/>
                <w:lang w:val="en-US" w:eastAsia="zh-CN"/>
              </w:rPr>
              <w:t xml:space="preserve">响应时效</w:t>
            </w:r>
            <w:r>
              <w:rPr>
                <w:rFonts w:hint="eastAsia" w:cs="宋体" w:asciiTheme="minorEastAsia" w:hAnsiTheme="minorEastAsia"/>
                <w:szCs w:val="21"/>
                <w:highlight w:val="none"/>
              </w:rPr>
              <w:t xml:space="preserve">、突发事件的预警及处理方案</w:t>
            </w:r>
            <w:r>
              <w:rPr>
                <w:rFonts w:hint="eastAsia" w:ascii="宋体" w:hAnsi="宋体" w:cs="宋体"/>
                <w:bCs/>
                <w:sz w:val="21"/>
                <w:szCs w:val="21"/>
                <w:highlight w:val="none"/>
              </w:rPr>
              <w:t xml:space="preserve">、人员安排等）进行综合评审</w:t>
            </w: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rPr>
              <w:t xml:space="preserve">方案详细合理、针对性强，完全符合项目要求</w:t>
            </w:r>
            <w:r>
              <w:rPr>
                <w:rFonts w:hint="eastAsia" w:ascii="宋体" w:hAnsi="宋体" w:cs="宋体"/>
                <w:bCs/>
                <w:sz w:val="21"/>
                <w:szCs w:val="21"/>
                <w:highlight w:val="none"/>
                <w:lang w:val="en-US" w:eastAsia="zh-CN"/>
              </w:rPr>
              <w:t xml:space="preserve">的</w:t>
            </w:r>
            <w:r>
              <w:rPr>
                <w:rFonts w:hint="eastAsia" w:ascii="宋体" w:hAnsi="宋体" w:cs="宋体"/>
                <w:bCs/>
                <w:sz w:val="21"/>
                <w:szCs w:val="21"/>
                <w:highlight w:val="none"/>
              </w:rPr>
              <w:t xml:space="preserve">得</w:t>
            </w:r>
            <w:r>
              <w:rPr>
                <w:rFonts w:ascii="宋体" w:hAnsi="宋体" w:cs="宋体"/>
                <w:bCs/>
                <w:sz w:val="21"/>
                <w:szCs w:val="21"/>
                <w:highlight w:val="none"/>
              </w:rPr>
              <w:t xml:space="preserve">5</w:t>
            </w:r>
            <w:r>
              <w:rPr>
                <w:rFonts w:hint="eastAsia" w:ascii="宋体" w:hAnsi="宋体" w:cs="宋体"/>
                <w:bCs/>
                <w:sz w:val="21"/>
                <w:szCs w:val="21"/>
                <w:highlight w:val="none"/>
              </w:rPr>
              <w:t xml:space="preserve">分；方案较详细合理、针对性较强，比较符合项目要求</w:t>
            </w:r>
            <w:r>
              <w:rPr>
                <w:rFonts w:hint="eastAsia" w:ascii="宋体" w:hAnsi="宋体" w:cs="宋体"/>
                <w:bCs/>
                <w:sz w:val="21"/>
                <w:szCs w:val="21"/>
                <w:highlight w:val="none"/>
                <w:lang w:val="en-US" w:eastAsia="zh-CN"/>
              </w:rPr>
              <w:t xml:space="preserve">的</w:t>
            </w:r>
            <w:r>
              <w:rPr>
                <w:rFonts w:hint="eastAsia" w:ascii="宋体" w:hAnsi="宋体" w:cs="宋体"/>
                <w:bCs/>
                <w:sz w:val="21"/>
                <w:szCs w:val="21"/>
                <w:highlight w:val="none"/>
              </w:rPr>
              <w:t xml:space="preserve">得</w:t>
            </w:r>
            <w:r>
              <w:rPr>
                <w:rFonts w:hint="eastAsia" w:ascii="宋体" w:hAnsi="宋体" w:cs="宋体"/>
                <w:bCs/>
                <w:sz w:val="21"/>
                <w:szCs w:val="21"/>
                <w:highlight w:val="none"/>
                <w:lang w:val="en-US" w:eastAsia="zh-CN"/>
              </w:rPr>
              <w:t xml:space="preserve">4</w:t>
            </w:r>
            <w:r>
              <w:rPr>
                <w:rFonts w:hint="eastAsia" w:ascii="宋体" w:hAnsi="宋体" w:cs="宋体"/>
                <w:bCs/>
                <w:sz w:val="21"/>
                <w:szCs w:val="21"/>
                <w:highlight w:val="none"/>
              </w:rPr>
              <w:t xml:space="preserve">分；</w:t>
            </w:r>
            <w:r>
              <w:rPr>
                <w:rFonts w:hint="eastAsia" w:ascii="宋体" w:hAnsi="宋体" w:cs="宋体"/>
                <w:bCs/>
                <w:sz w:val="21"/>
                <w:szCs w:val="21"/>
                <w:highlight w:val="none"/>
                <w:lang w:val="en-US" w:eastAsia="zh-CN"/>
              </w:rPr>
              <w:t xml:space="preserve">方案</w:t>
            </w:r>
            <w:r>
              <w:rPr>
                <w:rFonts w:hint="eastAsia" w:ascii="宋体" w:hAnsi="宋体" w:cs="宋体"/>
                <w:bCs/>
                <w:sz w:val="21"/>
                <w:szCs w:val="21"/>
                <w:highlight w:val="none"/>
              </w:rPr>
              <w:t xml:space="preserve">基本满足要求，可操作性一般</w:t>
            </w:r>
            <w:r>
              <w:rPr>
                <w:rFonts w:hint="eastAsia" w:ascii="宋体" w:hAnsi="宋体" w:cs="宋体"/>
                <w:bCs/>
                <w:sz w:val="21"/>
                <w:szCs w:val="21"/>
                <w:highlight w:val="none"/>
                <w:lang w:val="en-US" w:eastAsia="zh-CN"/>
              </w:rPr>
              <w:t xml:space="preserve">的得2分；方案</w:t>
            </w:r>
            <w:r>
              <w:rPr>
                <w:rFonts w:hint="eastAsia" w:ascii="宋体" w:hAnsi="宋体" w:cs="宋体"/>
                <w:bCs/>
                <w:sz w:val="21"/>
                <w:szCs w:val="21"/>
                <w:highlight w:val="none"/>
              </w:rPr>
              <w:t xml:space="preserve">简单、针对性较差</w:t>
            </w:r>
            <w:r>
              <w:rPr>
                <w:rFonts w:hint="eastAsia" w:ascii="宋体" w:hAnsi="宋体" w:cs="宋体"/>
                <w:bCs/>
                <w:sz w:val="21"/>
                <w:szCs w:val="21"/>
                <w:highlight w:val="none"/>
                <w:lang w:val="en-US" w:eastAsia="zh-CN"/>
              </w:rPr>
              <w:t xml:space="preserve">的</w:t>
            </w:r>
            <w:r>
              <w:rPr>
                <w:rFonts w:hint="eastAsia" w:ascii="宋体" w:hAnsi="宋体" w:cs="宋体"/>
                <w:bCs/>
                <w:sz w:val="21"/>
                <w:szCs w:val="21"/>
                <w:highlight w:val="none"/>
              </w:rPr>
              <w:t xml:space="preserve">得</w:t>
            </w:r>
            <w:r>
              <w:rPr>
                <w:rFonts w:hint="eastAsia" w:ascii="宋体" w:hAnsi="宋体" w:cs="宋体"/>
                <w:bCs/>
                <w:sz w:val="21"/>
                <w:szCs w:val="21"/>
                <w:highlight w:val="none"/>
                <w:lang w:val="en-US" w:eastAsia="zh-CN"/>
              </w:rPr>
              <w:t xml:space="preserve">1</w:t>
            </w:r>
            <w:r>
              <w:rPr>
                <w:rFonts w:hint="eastAsia" w:ascii="宋体" w:hAnsi="宋体" w:cs="宋体"/>
                <w:bCs/>
                <w:sz w:val="21"/>
                <w:szCs w:val="21"/>
                <w:highlight w:val="none"/>
              </w:rPr>
              <w:t xml:space="preserve">分</w:t>
            </w:r>
            <w:r>
              <w:rPr>
                <w:rFonts w:hint="eastAsia" w:ascii="宋体" w:hAnsi="宋体" w:cs="宋体"/>
                <w:bCs/>
                <w:sz w:val="21"/>
                <w:szCs w:val="21"/>
                <w:highlight w:val="none"/>
                <w:lang w:eastAsia="zh-CN"/>
              </w:rPr>
              <w:t xml:space="preserve">；</w:t>
            </w:r>
            <w:r>
              <w:rPr>
                <w:rFonts w:hint="eastAsia" w:ascii="宋体" w:hAnsi="宋体" w:cs="宋体"/>
                <w:bCs/>
                <w:sz w:val="21"/>
                <w:szCs w:val="21"/>
                <w:highlight w:val="none"/>
              </w:rPr>
              <w:t xml:space="preserve">未提供不得分。</w:t>
            </w:r>
            <w:r/>
          </w:p>
        </w:tc>
        <w:tc>
          <w:tcPr>
            <w:tcW w:w="1941" w:type="dxa"/>
            <w:vAlign w:val="center"/>
            <w:textDirection w:val="lrTb"/>
            <w:noWrap w:val="false"/>
          </w:tcPr>
          <w:p>
            <w:pPr>
              <w:ind w:left="-38"/>
              <w:rPr>
                <w:rFonts w:ascii="宋体" w:hAnsi="宋体" w:cs="宋体"/>
                <w:b w:val="0"/>
                <w:bCs w:val="0"/>
                <w:sz w:val="21"/>
                <w:szCs w:val="21"/>
                <w:highlight w:val="none"/>
              </w:rPr>
            </w:pPr>
            <w:r>
              <w:rPr>
                <w:rFonts w:hint="eastAsia" w:ascii="宋体" w:hAnsi="宋体" w:eastAsia="宋体" w:cs="宋体"/>
                <w:b w:val="0"/>
                <w:bCs w:val="0"/>
                <w:color w:val="auto"/>
                <w:sz w:val="21"/>
                <w:szCs w:val="21"/>
                <w:highlight w:val="none"/>
              </w:rPr>
              <w:t xml:space="preserve">根据投标文件进行评审。</w:t>
            </w:r>
            <w:r/>
          </w:p>
        </w:tc>
      </w:tr>
      <w:tr>
        <w:trPr>
          <w:jc w:val="center"/>
          <w:trHeight w:val="313"/>
        </w:trPr>
        <w:tc>
          <w:tcPr>
            <w:tcW w:w="732" w:type="dxa"/>
            <w:vAlign w:val="center"/>
            <w:textDirection w:val="lrTb"/>
            <w:noWrap w:val="false"/>
          </w:tcPr>
          <w:p>
            <w:pPr>
              <w:ind w:firstLine="28"/>
              <w:jc w:val="center"/>
              <w:rPr>
                <w:rFonts w:ascii="宋体" w:hAnsi="宋体" w:cs="宋体"/>
                <w:b/>
                <w:sz w:val="21"/>
                <w:szCs w:val="21"/>
                <w:highlight w:val="none"/>
              </w:rPr>
            </w:pPr>
            <w:r>
              <w:rPr>
                <w:rFonts w:hint="eastAsia" w:ascii="宋体" w:hAnsi="宋体" w:cs="宋体"/>
                <w:b/>
                <w:sz w:val="21"/>
                <w:szCs w:val="21"/>
                <w:highlight w:val="none"/>
              </w:rPr>
              <w:t xml:space="preserve">3</w:t>
            </w:r>
            <w:r/>
          </w:p>
        </w:tc>
        <w:tc>
          <w:tcPr>
            <w:tcW w:w="1093" w:type="dxa"/>
            <w:vAlign w:val="center"/>
            <w:textDirection w:val="lrTb"/>
            <w:noWrap w:val="false"/>
          </w:tcPr>
          <w:p>
            <w:pPr>
              <w:ind w:firstLine="28"/>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商务分</w:t>
            </w:r>
            <w:r/>
          </w:p>
        </w:tc>
        <w:tc>
          <w:tcPr>
            <w:tcW w:w="783" w:type="dxa"/>
            <w:vAlign w:val="center"/>
            <w:textDirection w:val="lrTb"/>
            <w:noWrap w:val="false"/>
          </w:tcPr>
          <w:p>
            <w:pPr>
              <w:ind w:firstLine="28"/>
              <w:jc w:val="center"/>
              <w:rPr>
                <w:rFonts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1</w:t>
            </w:r>
            <w:r>
              <w:rPr>
                <w:rFonts w:hint="eastAsia" w:ascii="宋体" w:hAnsi="宋体" w:cs="宋体"/>
                <w:b/>
                <w:color w:val="auto"/>
                <w:sz w:val="21"/>
                <w:szCs w:val="21"/>
                <w:highlight w:val="none"/>
              </w:rPr>
              <w:t xml:space="preserve">5</w:t>
            </w:r>
            <w:r/>
          </w:p>
        </w:tc>
        <w:tc>
          <w:tcPr>
            <w:tcW w:w="4328" w:type="dxa"/>
            <w:vAlign w:val="center"/>
            <w:textDirection w:val="lrTb"/>
            <w:noWrap w:val="false"/>
          </w:tcPr>
          <w:p>
            <w:pPr>
              <w:rPr>
                <w:rFonts w:ascii="宋体" w:hAnsi="宋体" w:cs="宋体"/>
                <w:bCs/>
                <w:color w:val="auto"/>
                <w:sz w:val="21"/>
                <w:szCs w:val="21"/>
                <w:highlight w:val="none"/>
              </w:rPr>
            </w:pPr>
            <w:r>
              <w:rPr>
                <w:rFonts w:ascii="宋体" w:hAnsi="宋体" w:cs="宋体"/>
                <w:bCs/>
                <w:color w:val="auto"/>
                <w:sz w:val="21"/>
                <w:szCs w:val="21"/>
                <w:highlight w:val="none"/>
              </w:rPr>
            </w:r>
            <w:r/>
          </w:p>
        </w:tc>
        <w:tc>
          <w:tcPr>
            <w:tcW w:w="1941" w:type="dxa"/>
            <w:vAlign w:val="center"/>
            <w:textDirection w:val="lrTb"/>
            <w:noWrap w:val="false"/>
          </w:tcPr>
          <w:p>
            <w:pPr>
              <w:ind w:left="-38"/>
              <w:rPr>
                <w:rFonts w:ascii="宋体" w:hAnsi="宋体" w:cs="宋体"/>
                <w:bCs/>
                <w:color w:val="auto"/>
                <w:sz w:val="21"/>
                <w:szCs w:val="21"/>
                <w:highlight w:val="none"/>
              </w:rPr>
            </w:pPr>
            <w:r>
              <w:rPr>
                <w:rFonts w:ascii="宋体" w:hAnsi="宋体" w:cs="宋体"/>
                <w:bCs/>
                <w:color w:val="auto"/>
                <w:sz w:val="21"/>
                <w:szCs w:val="21"/>
                <w:highlight w:val="none"/>
              </w:rPr>
            </w:r>
            <w:r/>
          </w:p>
        </w:tc>
      </w:tr>
      <w:tr>
        <w:trPr>
          <w:jc w:val="center"/>
          <w:trHeight w:val="1222"/>
        </w:trPr>
        <w:tc>
          <w:tcPr>
            <w:tcW w:w="732" w:type="dxa"/>
            <w:vAlign w:val="center"/>
            <w:textDirection w:val="lrTb"/>
            <w:noWrap w:val="false"/>
          </w:tcPr>
          <w:p>
            <w:pPr>
              <w:ind w:firstLine="28"/>
              <w:jc w:val="center"/>
              <w:rPr>
                <w:rFonts w:hint="eastAsia" w:ascii="宋体" w:hAnsi="宋体" w:eastAsia="宋体" w:cs="宋体"/>
                <w:bCs/>
                <w:sz w:val="21"/>
                <w:szCs w:val="21"/>
                <w:highlight w:val="none"/>
                <w:lang w:eastAsia="zh-CN"/>
              </w:rPr>
            </w:pPr>
            <w:r>
              <w:rPr>
                <w:rFonts w:hint="eastAsia" w:ascii="宋体" w:hAnsi="宋体" w:cs="宋体"/>
                <w:bCs/>
                <w:sz w:val="21"/>
                <w:szCs w:val="21"/>
                <w:highlight w:val="none"/>
              </w:rPr>
              <w:t xml:space="preserve">3.</w:t>
            </w:r>
            <w:r>
              <w:rPr>
                <w:rFonts w:hint="eastAsia" w:ascii="宋体" w:hAnsi="宋体" w:cs="宋体"/>
                <w:bCs/>
                <w:sz w:val="21"/>
                <w:szCs w:val="21"/>
                <w:highlight w:val="none"/>
                <w:lang w:val="en-US" w:eastAsia="zh-CN"/>
              </w:rPr>
              <w:t xml:space="preserve">1</w:t>
            </w:r>
            <w:r/>
          </w:p>
        </w:tc>
        <w:tc>
          <w:tcPr>
            <w:tcW w:w="1093"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zh-Hans" w:eastAsia="zh-Hans"/>
              </w:rPr>
              <w:t xml:space="preserve">业绩</w:t>
            </w:r>
            <w:r/>
          </w:p>
        </w:tc>
        <w:tc>
          <w:tcPr>
            <w:tcW w:w="783" w:type="dxa"/>
            <w:vAlign w:val="center"/>
            <w:textDirection w:val="lrTb"/>
            <w:noWrap w:val="false"/>
          </w:tcPr>
          <w:p>
            <w:pPr>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3</w:t>
            </w:r>
            <w:r/>
          </w:p>
        </w:tc>
        <w:tc>
          <w:tcPr>
            <w:tcW w:w="4328"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w:t>
            </w:r>
            <w:r>
              <w:rPr>
                <w:rFonts w:hint="eastAsia" w:ascii="宋体" w:hAnsi="宋体" w:eastAsia="宋体" w:cs="宋体"/>
                <w:bCs/>
                <w:color w:val="auto"/>
                <w:sz w:val="21"/>
                <w:szCs w:val="21"/>
                <w:highlight w:val="none"/>
                <w:lang w:val="en-US" w:eastAsia="zh-CN"/>
              </w:rPr>
              <w:t xml:space="preserve">提供</w:t>
            </w:r>
            <w:r>
              <w:rPr>
                <w:rFonts w:hint="eastAsia" w:ascii="宋体" w:hAnsi="宋体" w:eastAsia="宋体" w:cs="宋体"/>
                <w:bCs/>
                <w:color w:val="auto"/>
                <w:sz w:val="21"/>
                <w:szCs w:val="21"/>
                <w:highlight w:val="none"/>
              </w:rPr>
              <w:t xml:space="preserve">自20</w:t>
            </w:r>
            <w:r>
              <w:rPr>
                <w:rFonts w:hint="eastAsia" w:ascii="宋体" w:hAnsi="宋体" w:eastAsia="宋体" w:cs="宋体"/>
                <w:bCs/>
                <w:color w:val="auto"/>
                <w:sz w:val="21"/>
                <w:szCs w:val="21"/>
                <w:highlight w:val="none"/>
                <w:lang w:val="en-US" w:eastAsia="zh-CN"/>
              </w:rPr>
              <w:t xml:space="preserve">22</w:t>
            </w:r>
            <w:r>
              <w:rPr>
                <w:rFonts w:hint="eastAsia" w:ascii="宋体" w:hAnsi="宋体" w:eastAsia="宋体" w:cs="宋体"/>
                <w:bCs/>
                <w:color w:val="auto"/>
                <w:sz w:val="21"/>
                <w:szCs w:val="21"/>
                <w:highlight w:val="none"/>
              </w:rPr>
              <w:t xml:space="preserve">年1月1日以来（以合同签订时间为准）</w:t>
            </w:r>
            <w:r>
              <w:rPr>
                <w:rFonts w:hint="eastAsia" w:ascii="宋体" w:hAnsi="宋体" w:eastAsia="宋体" w:cs="宋体"/>
                <w:b w:val="0"/>
                <w:bCs/>
                <w:color w:val="auto"/>
                <w:sz w:val="21"/>
                <w:szCs w:val="21"/>
                <w:highlight w:val="none"/>
              </w:rPr>
              <w:t xml:space="preserve">与项目采购包相关的类似业绩，有一个得</w:t>
            </w: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分，最高得</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分。</w:t>
            </w:r>
            <w:r/>
          </w:p>
        </w:tc>
        <w:tc>
          <w:tcPr>
            <w:tcW w:w="1941"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提供合同</w:t>
            </w:r>
            <w:r>
              <w:rPr>
                <w:rFonts w:hint="eastAsia" w:ascii="宋体" w:hAnsi="宋体" w:eastAsia="宋体" w:cs="宋体"/>
                <w:bCs/>
                <w:color w:val="auto"/>
                <w:sz w:val="21"/>
                <w:szCs w:val="21"/>
                <w:highlight w:val="none"/>
                <w:lang w:val="en-US" w:eastAsia="zh-CN"/>
              </w:rPr>
              <w:t xml:space="preserve">原件</w:t>
            </w:r>
            <w:r>
              <w:rPr>
                <w:rFonts w:hint="eastAsia" w:ascii="宋体" w:hAnsi="宋体" w:eastAsia="宋体" w:cs="宋体"/>
                <w:bCs/>
                <w:color w:val="auto"/>
                <w:sz w:val="21"/>
                <w:szCs w:val="21"/>
                <w:highlight w:val="none"/>
              </w:rPr>
              <w:t xml:space="preserve">扫描件并加盖公章，否则不得分。</w:t>
            </w:r>
            <w:r/>
          </w:p>
        </w:tc>
      </w:tr>
      <w:tr>
        <w:trPr>
          <w:jc w:val="center"/>
          <w:trHeight w:val="1828"/>
        </w:trPr>
        <w:tc>
          <w:tcPr>
            <w:tcW w:w="732" w:type="dxa"/>
            <w:vAlign w:val="center"/>
            <w:textDirection w:val="lrTb"/>
            <w:noWrap w:val="false"/>
          </w:tcPr>
          <w:p>
            <w:pPr>
              <w:ind w:firstLine="28"/>
              <w:jc w:val="center"/>
              <w:rPr>
                <w:rFonts w:hint="eastAsia" w:ascii="宋体" w:hAnsi="宋体" w:eastAsia="宋体" w:cs="宋体"/>
                <w:bCs/>
                <w:sz w:val="21"/>
                <w:szCs w:val="21"/>
                <w:highlight w:val="none"/>
                <w:lang w:eastAsia="zh-CN"/>
              </w:rPr>
            </w:pPr>
            <w:r>
              <w:rPr>
                <w:rFonts w:hint="eastAsia" w:ascii="宋体" w:hAnsi="宋体" w:cs="宋体"/>
                <w:bCs/>
                <w:sz w:val="21"/>
                <w:szCs w:val="21"/>
                <w:highlight w:val="none"/>
              </w:rPr>
              <w:t xml:space="preserve">3.</w:t>
            </w:r>
            <w:r>
              <w:rPr>
                <w:rFonts w:hint="eastAsia" w:ascii="宋体" w:hAnsi="宋体" w:cs="宋体"/>
                <w:bCs/>
                <w:sz w:val="21"/>
                <w:szCs w:val="21"/>
                <w:highlight w:val="none"/>
                <w:lang w:val="en-US" w:eastAsia="zh-CN"/>
              </w:rPr>
              <w:t xml:space="preserve">2</w:t>
            </w:r>
            <w:r/>
          </w:p>
        </w:tc>
        <w:tc>
          <w:tcPr>
            <w:tcW w:w="1093" w:type="dxa"/>
            <w:vAlign w:val="center"/>
            <w:textDirection w:val="lrTb"/>
            <w:noWrap w:val="false"/>
          </w:tcPr>
          <w:p>
            <w:pPr>
              <w:jc w:val="center"/>
              <w:spacing w:line="360" w:lineRule="auto"/>
              <w:tabs>
                <w:tab w:val="left" w:pos="1200" w:leader="none"/>
              </w:tabs>
              <w:rPr>
                <w:rFonts w:ascii="宋体" w:hAnsi="宋体" w:cs="宋体"/>
                <w:bCs/>
                <w:color w:val="auto"/>
                <w:sz w:val="21"/>
                <w:szCs w:val="21"/>
                <w:highlight w:val="none"/>
                <w:lang w:val="zh-Hans" w:eastAsia="zh-Hans"/>
              </w:rPr>
            </w:pPr>
            <w:r>
              <w:rPr>
                <w:rFonts w:hint="eastAsia" w:ascii="宋体" w:hAnsi="宋体" w:cs="宋体"/>
                <w:color w:val="auto"/>
                <w:sz w:val="21"/>
                <w:szCs w:val="21"/>
                <w:highlight w:val="none"/>
              </w:rPr>
              <w:t xml:space="preserve">检测能力</w:t>
            </w:r>
            <w:r/>
          </w:p>
        </w:tc>
        <w:tc>
          <w:tcPr>
            <w:tcW w:w="783" w:type="dxa"/>
            <w:vAlign w:val="center"/>
            <w:textDirection w:val="lrTb"/>
            <w:noWrap w:val="false"/>
          </w:tcPr>
          <w:p>
            <w:pPr>
              <w:jc w:val="center"/>
              <w:spacing w:line="360" w:lineRule="auto"/>
              <w:tabs>
                <w:tab w:val="left" w:pos="1200" w:leader="none"/>
              </w:tabs>
              <w:rPr>
                <w:rFonts w:ascii="宋体" w:hAnsi="宋体" w:eastAsia="宋体" w:cs="宋体"/>
                <w:bCs/>
                <w:color w:val="auto"/>
                <w:sz w:val="21"/>
                <w:szCs w:val="21"/>
                <w:highlight w:val="none"/>
              </w:rPr>
            </w:pPr>
            <w:r>
              <w:rPr>
                <w:rFonts w:hint="eastAsia" w:ascii="宋体" w:hAnsi="宋体" w:cs="宋体"/>
                <w:color w:val="auto"/>
                <w:sz w:val="21"/>
                <w:szCs w:val="21"/>
                <w:highlight w:val="none"/>
                <w:lang w:val="en-US" w:eastAsia="zh-CN"/>
              </w:rPr>
              <w:t xml:space="preserve">3</w:t>
            </w:r>
            <w:r/>
          </w:p>
        </w:tc>
        <w:tc>
          <w:tcPr>
            <w:tcW w:w="4328" w:type="dxa"/>
            <w:vAlign w:val="center"/>
            <w:textDirection w:val="lrTb"/>
            <w:noWrap w:val="false"/>
          </w:tcPr>
          <w:p>
            <w:pPr>
              <w:numPr>
                <w:ilvl w:val="0"/>
                <w:numId w:val="9"/>
              </w:numPr>
              <w:jc w:val="both"/>
              <w:spacing w:line="360" w:lineRule="auto"/>
              <w:tabs>
                <w:tab w:val="left" w:pos="12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w:t>
            </w:r>
            <w:r>
              <w:rPr>
                <w:rFonts w:hint="eastAsia" w:ascii="宋体" w:hAnsi="宋体" w:cs="宋体"/>
                <w:b w:val="0"/>
                <w:bCs w:val="0"/>
                <w:color w:val="auto"/>
                <w:sz w:val="21"/>
                <w:szCs w:val="21"/>
                <w:highlight w:val="none"/>
                <w:lang w:val="en-US" w:eastAsia="zh-CN"/>
              </w:rPr>
              <w:t xml:space="preserve">需具备自有实验室，投标人</w:t>
            </w:r>
            <w:r>
              <w:rPr>
                <w:rFonts w:hint="eastAsia" w:ascii="宋体" w:hAnsi="宋体" w:eastAsia="宋体" w:cs="宋体"/>
                <w:b w:val="0"/>
                <w:bCs w:val="0"/>
                <w:color w:val="auto"/>
                <w:sz w:val="21"/>
                <w:szCs w:val="21"/>
                <w:highlight w:val="none"/>
                <w:lang w:val="en-US" w:eastAsia="zh-CN"/>
              </w:rPr>
              <w:t xml:space="preserve">通过省级及以上质量监督技术局批准的检验检测机构资质认定的环境类监测项目数在300项及以上的得2分；120</w:t>
            </w:r>
            <w:r>
              <w:rPr>
                <w:rFonts w:hint="default"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监测项目数＜300项得1分；低于120项不得分。</w:t>
            </w:r>
            <w:r/>
          </w:p>
          <w:p>
            <w:pPr>
              <w:numPr>
                <w:ilvl w:val="0"/>
                <w:numId w:val="9"/>
              </w:numPr>
              <w:jc w:val="both"/>
              <w:spacing w:line="360" w:lineRule="auto"/>
              <w:tabs>
                <w:tab w:val="left" w:pos="12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投标人实验室</w:t>
            </w:r>
            <w:r>
              <w:rPr>
                <w:rFonts w:hint="eastAsia" w:ascii="宋体" w:hAnsi="宋体" w:cs="宋体"/>
                <w:b w:val="0"/>
                <w:bCs w:val="0"/>
                <w:color w:val="auto"/>
                <w:sz w:val="21"/>
                <w:szCs w:val="21"/>
                <w:highlight w:val="none"/>
                <w:lang w:val="en-US" w:eastAsia="zh-CN"/>
              </w:rPr>
              <w:t xml:space="preserve">配</w:t>
            </w:r>
            <w:r>
              <w:rPr>
                <w:rFonts w:hint="eastAsia" w:ascii="宋体" w:hAnsi="宋体" w:eastAsia="宋体" w:cs="宋体"/>
                <w:b w:val="0"/>
                <w:bCs w:val="0"/>
                <w:color w:val="auto"/>
                <w:sz w:val="21"/>
                <w:szCs w:val="21"/>
                <w:highlight w:val="none"/>
                <w:lang w:val="en-US" w:eastAsia="zh-CN"/>
              </w:rPr>
              <w:t xml:space="preserve">有Lims系统的得1分，没有不得分。</w:t>
            </w:r>
            <w:r/>
          </w:p>
        </w:tc>
        <w:tc>
          <w:tcPr>
            <w:tcW w:w="1941" w:type="dxa"/>
            <w:vAlign w:val="center"/>
            <w:textDirection w:val="lrTb"/>
            <w:noWrap w:val="false"/>
          </w:tcPr>
          <w:p>
            <w:pPr>
              <w:numPr>
                <w:ilvl w:val="0"/>
                <w:numId w:val="10"/>
              </w:numPr>
              <w:jc w:val="center"/>
              <w:spacing w:line="360" w:lineRule="auto"/>
              <w:tabs>
                <w:tab w:val="left" w:pos="12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提供</w:t>
            </w:r>
            <w:r>
              <w:rPr>
                <w:rFonts w:hint="eastAsia" w:ascii="宋体" w:hAnsi="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lang w:val="en-US" w:eastAsia="zh-CN"/>
              </w:rPr>
              <w:t xml:space="preserve">CMA资质证书及附表的原件或复印件,扫描形成的电子文档，并加盖公章，否则不得分。</w:t>
            </w:r>
            <w:r/>
          </w:p>
          <w:p>
            <w:pPr>
              <w:numPr>
                <w:ilvl w:val="0"/>
                <w:numId w:val="10"/>
              </w:numPr>
              <w:jc w:val="center"/>
              <w:spacing w:line="360" w:lineRule="auto"/>
              <w:tabs>
                <w:tab w:val="left" w:pos="1200"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提供相关证明材料扫描件加盖公章。</w:t>
            </w:r>
            <w:r/>
          </w:p>
        </w:tc>
      </w:tr>
      <w:tr>
        <w:trPr>
          <w:jc w:val="center"/>
          <w:trHeight w:val="90"/>
        </w:trPr>
        <w:tc>
          <w:tcPr>
            <w:tcW w:w="732" w:type="dxa"/>
            <w:vAlign w:val="center"/>
            <w:textDirection w:val="lrTb"/>
            <w:noWrap w:val="false"/>
          </w:tcPr>
          <w:p>
            <w:pPr>
              <w:ind w:firstLine="28"/>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3.3</w:t>
            </w:r>
            <w:r/>
          </w:p>
        </w:tc>
        <w:tc>
          <w:tcPr>
            <w:tcW w:w="1093" w:type="dxa"/>
            <w:vAlign w:val="center"/>
            <w:textDirection w:val="lrTb"/>
            <w:noWrap w:val="false"/>
          </w:tcPr>
          <w:p>
            <w:pPr>
              <w:jc w:val="center"/>
              <w:spacing w:line="360" w:lineRule="auto"/>
              <w:tabs>
                <w:tab w:val="left" w:pos="1200" w:leader="none"/>
              </w:tabs>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机构人员素质及专业配备</w:t>
            </w:r>
            <w:r/>
          </w:p>
        </w:tc>
        <w:tc>
          <w:tcPr>
            <w:tcW w:w="783" w:type="dxa"/>
            <w:vAlign w:val="center"/>
            <w:textDirection w:val="lrTb"/>
            <w:noWrap w:val="false"/>
          </w:tcPr>
          <w:p>
            <w:pPr>
              <w:jc w:val="center"/>
              <w:spacing w:line="360" w:lineRule="auto"/>
              <w:tabs>
                <w:tab w:val="left" w:pos="1200" w:leader="none"/>
              </w:tabs>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W w:w="4328" w:type="dxa"/>
            <w:vAlign w:val="center"/>
            <w:textDirection w:val="lrTb"/>
            <w:noWrap w:val="false"/>
          </w:tcPr>
          <w:p>
            <w:pPr>
              <w:pStyle w:val="1000"/>
              <w:spacing w:line="360" w:lineRule="auto"/>
              <w:tabs>
                <w:tab w:val="left" w:pos="567" w:leader="none"/>
              </w:tabs>
              <w:rPr>
                <w:rFonts w:hint="eastAsia" w:eastAsia="宋体" w:cs="Times New Roman"/>
                <w:color w:val="auto"/>
                <w:sz w:val="21"/>
                <w:szCs w:val="21"/>
                <w:highlight w:val="none"/>
              </w:rPr>
            </w:pPr>
            <w:r>
              <w:rPr>
                <w:rFonts w:hint="eastAsia" w:eastAsia="宋体" w:cs="Times New Roman"/>
                <w:color w:val="auto"/>
                <w:sz w:val="21"/>
                <w:szCs w:val="21"/>
                <w:highlight w:val="none"/>
              </w:rPr>
              <w:t xml:space="preserve">项目组成员具有环境类高级职称的，有1名得</w:t>
            </w:r>
            <w:r>
              <w:rPr>
                <w:rFonts w:hint="eastAsia" w:eastAsia="宋体" w:cs="Times New Roman"/>
                <w:color w:val="auto"/>
                <w:sz w:val="21"/>
                <w:szCs w:val="21"/>
                <w:highlight w:val="none"/>
                <w:lang w:val="en-US" w:eastAsia="zh-CN"/>
              </w:rPr>
              <w:t xml:space="preserve">2</w:t>
            </w:r>
            <w:r>
              <w:rPr>
                <w:rFonts w:hint="eastAsia" w:eastAsia="宋体" w:cs="Times New Roman"/>
                <w:color w:val="auto"/>
                <w:sz w:val="21"/>
                <w:szCs w:val="21"/>
                <w:highlight w:val="none"/>
              </w:rPr>
              <w:t xml:space="preserve">分，具有环境类中级职称的，有1名得</w:t>
            </w:r>
            <w:r>
              <w:rPr>
                <w:rFonts w:hint="eastAsia" w:eastAsia="宋体" w:cs="Times New Roman"/>
                <w:color w:val="auto"/>
                <w:sz w:val="21"/>
                <w:szCs w:val="21"/>
                <w:highlight w:val="none"/>
                <w:lang w:val="en-US" w:eastAsia="zh-CN"/>
              </w:rPr>
              <w:t xml:space="preserve">1</w:t>
            </w:r>
            <w:r>
              <w:rPr>
                <w:rFonts w:hint="eastAsia" w:eastAsia="宋体" w:cs="Times New Roman"/>
                <w:color w:val="auto"/>
                <w:sz w:val="21"/>
                <w:szCs w:val="21"/>
                <w:highlight w:val="none"/>
              </w:rPr>
              <w:t xml:space="preserve">分，最多限评5人，本项最高得</w:t>
            </w:r>
            <w:r>
              <w:rPr>
                <w:rFonts w:hint="eastAsia" w:eastAsia="宋体" w:cs="Times New Roman"/>
                <w:color w:val="auto"/>
                <w:sz w:val="21"/>
                <w:szCs w:val="21"/>
                <w:highlight w:val="none"/>
                <w:lang w:val="en-US" w:eastAsia="zh-CN"/>
              </w:rPr>
              <w:t xml:space="preserve">6</w:t>
            </w:r>
            <w:r>
              <w:rPr>
                <w:rFonts w:hint="eastAsia" w:eastAsia="宋体" w:cs="Times New Roman"/>
                <w:color w:val="auto"/>
                <w:sz w:val="21"/>
                <w:szCs w:val="21"/>
                <w:highlight w:val="none"/>
              </w:rPr>
              <w:t xml:space="preserve">分。</w:t>
            </w:r>
            <w:r/>
          </w:p>
          <w:p>
            <w:pPr>
              <w:pStyle w:val="1000"/>
              <w:spacing w:line="360" w:lineRule="auto"/>
              <w:tabs>
                <w:tab w:val="left" w:pos="567" w:leader="none"/>
              </w:tabs>
              <w:rPr>
                <w:rFonts w:hint="eastAsia"/>
                <w:color w:val="auto"/>
                <w:sz w:val="21"/>
                <w:szCs w:val="21"/>
                <w:highlight w:val="none"/>
                <w:lang w:val="en-US" w:eastAsia="zh-CN"/>
              </w:rPr>
            </w:pPr>
            <w:r>
              <w:rPr>
                <w:rFonts w:hint="eastAsia" w:eastAsia="宋体" w:cs="Times New Roman"/>
                <w:color w:val="auto"/>
                <w:sz w:val="21"/>
                <w:szCs w:val="21"/>
                <w:highlight w:val="none"/>
              </w:rPr>
              <w:t xml:space="preserve">同一人以最高职称计分。</w:t>
            </w:r>
            <w:r/>
          </w:p>
        </w:tc>
        <w:tc>
          <w:tcPr>
            <w:tcW w:w="1941" w:type="dxa"/>
            <w:vAlign w:val="center"/>
            <w:textDirection w:val="lrTb"/>
            <w:noWrap w:val="false"/>
          </w:tcPr>
          <w:p>
            <w:pPr>
              <w:jc w:val="both"/>
              <w:spacing w:line="360" w:lineRule="auto"/>
              <w:tabs>
                <w:tab w:val="left" w:pos="1200"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rPr>
              <w:t xml:space="preserve">提供</w:t>
            </w:r>
            <w:r>
              <w:rPr>
                <w:rFonts w:hint="eastAsia" w:ascii="宋体" w:hAnsi="宋体" w:cs="宋体"/>
                <w:b w:val="0"/>
                <w:bCs w:val="0"/>
                <w:color w:val="auto"/>
                <w:sz w:val="21"/>
                <w:szCs w:val="21"/>
                <w:highlight w:val="none"/>
                <w:lang w:val="en-US" w:eastAsia="zh-CN"/>
              </w:rPr>
              <w:t xml:space="preserve">职称</w:t>
            </w:r>
            <w:r>
              <w:rPr>
                <w:rFonts w:hint="eastAsia" w:ascii="宋体" w:hAnsi="宋体" w:cs="宋体"/>
                <w:b w:val="0"/>
                <w:bCs w:val="0"/>
                <w:color w:val="auto"/>
                <w:sz w:val="21"/>
                <w:szCs w:val="21"/>
                <w:highlight w:val="none"/>
              </w:rPr>
              <w:t xml:space="preserve">证书</w:t>
            </w:r>
            <w:r>
              <w:rPr>
                <w:rFonts w:hint="eastAsia" w:ascii="宋体" w:hAnsi="宋体" w:cs="宋体"/>
                <w:b w:val="0"/>
                <w:bCs w:val="0"/>
                <w:color w:val="auto"/>
                <w:sz w:val="21"/>
                <w:szCs w:val="21"/>
                <w:highlight w:val="none"/>
                <w:lang w:val="en-US" w:eastAsia="zh-CN"/>
              </w:rPr>
              <w:t xml:space="preserve">扫描件</w:t>
            </w:r>
            <w:r>
              <w:rPr>
                <w:rFonts w:hint="eastAsia" w:ascii="宋体" w:hAnsi="宋体" w:cs="宋体"/>
                <w:b w:val="0"/>
                <w:bCs w:val="0"/>
                <w:color w:val="auto"/>
                <w:sz w:val="21"/>
                <w:szCs w:val="21"/>
                <w:highlight w:val="none"/>
              </w:rPr>
              <w:t xml:space="preserve">及</w:t>
            </w:r>
            <w:r>
              <w:rPr>
                <w:rFonts w:hint="eastAsia" w:ascii="宋体" w:hAnsi="宋体" w:cs="宋体"/>
                <w:b w:val="0"/>
                <w:bCs w:val="0"/>
                <w:color w:val="auto"/>
                <w:sz w:val="21"/>
                <w:szCs w:val="21"/>
                <w:highlight w:val="none"/>
                <w:lang w:val="en-US" w:eastAsia="zh-CN"/>
              </w:rPr>
              <w:t xml:space="preserve">开标</w:t>
            </w:r>
            <w:r>
              <w:rPr>
                <w:rFonts w:hint="eastAsia" w:ascii="宋体" w:hAnsi="宋体" w:cs="宋体"/>
                <w:b w:val="0"/>
                <w:bCs w:val="0"/>
                <w:color w:val="auto"/>
                <w:sz w:val="21"/>
                <w:szCs w:val="21"/>
                <w:highlight w:val="none"/>
              </w:rPr>
              <w:t xml:space="preserve">截止日前</w:t>
            </w:r>
            <w:r>
              <w:rPr>
                <w:rFonts w:hint="eastAsia" w:ascii="宋体" w:hAnsi="宋体" w:cs="宋体"/>
                <w:b w:val="0"/>
                <w:bCs w:val="0"/>
                <w:color w:val="auto"/>
                <w:sz w:val="21"/>
                <w:szCs w:val="21"/>
                <w:highlight w:val="none"/>
                <w:lang w:val="en-US" w:eastAsia="zh-CN"/>
              </w:rPr>
              <w:t xml:space="preserve">三个月</w:t>
            </w:r>
            <w:r>
              <w:rPr>
                <w:rFonts w:hint="eastAsia" w:ascii="宋体" w:hAnsi="宋体" w:cs="宋体"/>
                <w:b w:val="0"/>
                <w:bCs w:val="0"/>
                <w:color w:val="auto"/>
                <w:sz w:val="21"/>
                <w:szCs w:val="21"/>
                <w:highlight w:val="none"/>
              </w:rPr>
              <w:t xml:space="preserve">内任意</w:t>
            </w:r>
            <w:r>
              <w:rPr>
                <w:rFonts w:hint="eastAsia" w:ascii="宋体" w:hAnsi="宋体" w:cs="宋体"/>
                <w:b w:val="0"/>
                <w:bCs w:val="0"/>
                <w:color w:val="auto"/>
                <w:sz w:val="21"/>
                <w:szCs w:val="21"/>
                <w:highlight w:val="none"/>
                <w:lang w:val="en-US" w:eastAsia="zh-CN"/>
              </w:rPr>
              <w:t xml:space="preserve">一</w:t>
            </w:r>
            <w:r>
              <w:rPr>
                <w:rFonts w:hint="eastAsia" w:ascii="宋体" w:hAnsi="宋体" w:cs="宋体"/>
                <w:b w:val="0"/>
                <w:bCs w:val="0"/>
                <w:color w:val="auto"/>
                <w:sz w:val="21"/>
                <w:szCs w:val="21"/>
                <w:highlight w:val="none"/>
              </w:rPr>
              <w:t xml:space="preserve">个月</w:t>
            </w:r>
            <w:r>
              <w:rPr>
                <w:rFonts w:hint="eastAsia" w:cs="宋体"/>
                <w:b w:val="0"/>
                <w:bCs w:val="0"/>
                <w:color w:val="auto"/>
                <w:sz w:val="21"/>
                <w:szCs w:val="21"/>
                <w:highlight w:val="none"/>
                <w:lang w:val="en-US" w:eastAsia="zh-CN"/>
              </w:rPr>
              <w:t xml:space="preserve">投标人</w:t>
            </w:r>
            <w:r>
              <w:rPr>
                <w:rFonts w:hint="eastAsia" w:ascii="宋体" w:hAnsi="宋体" w:cs="宋体"/>
                <w:b w:val="0"/>
                <w:bCs w:val="0"/>
                <w:color w:val="auto"/>
                <w:sz w:val="21"/>
                <w:szCs w:val="21"/>
                <w:highlight w:val="none"/>
              </w:rPr>
              <w:t xml:space="preserve">为上述人员缴纳的社保证明材料</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退休人员提供退休返聘合同</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扫描件加盖</w:t>
            </w:r>
            <w:r>
              <w:rPr>
                <w:rFonts w:hint="eastAsia" w:ascii="宋体" w:hAnsi="宋体" w:eastAsia="宋体" w:cs="宋体"/>
                <w:b w:val="0"/>
                <w:bCs w:val="0"/>
                <w:color w:val="auto"/>
                <w:sz w:val="21"/>
                <w:szCs w:val="21"/>
                <w:highlight w:val="none"/>
                <w:lang w:val="en-US" w:eastAsia="zh-CN" w:bidi="ar-SA"/>
              </w:rPr>
              <w:t xml:space="preserve">公章，否则不得分。</w:t>
            </w:r>
            <w:r/>
          </w:p>
        </w:tc>
      </w:tr>
      <w:tr>
        <w:trPr>
          <w:jc w:val="center"/>
          <w:trHeight w:val="2737"/>
        </w:trPr>
        <w:tc>
          <w:tcPr>
            <w:tcW w:w="732" w:type="dxa"/>
            <w:vAlign w:val="center"/>
            <w:textDirection w:val="lrTb"/>
            <w:noWrap w:val="false"/>
          </w:tcPr>
          <w:p>
            <w:pPr>
              <w:ind w:firstLine="28"/>
              <w:jc w:val="center"/>
              <w:rPr>
                <w:rFonts w:ascii="宋体" w:hAnsi="宋体" w:cs="宋体"/>
                <w:bCs/>
                <w:sz w:val="21"/>
                <w:szCs w:val="21"/>
                <w:highlight w:val="none"/>
              </w:rPr>
            </w:pPr>
            <w:r>
              <w:rPr>
                <w:rFonts w:hint="eastAsia" w:ascii="宋体" w:hAnsi="宋体" w:cs="宋体"/>
                <w:bCs/>
                <w:sz w:val="21"/>
                <w:szCs w:val="21"/>
                <w:highlight w:val="none"/>
              </w:rPr>
              <w:t xml:space="preserve">3.4</w:t>
            </w:r>
            <w:r/>
          </w:p>
        </w:tc>
        <w:tc>
          <w:tcPr>
            <w:tcW w:w="1093" w:type="dxa"/>
            <w:vAlign w:val="center"/>
            <w:textDirection w:val="lrTb"/>
            <w:noWrap w:val="false"/>
          </w:tcPr>
          <w:p>
            <w:pPr>
              <w:jc w:val="center"/>
              <w:spacing w:line="360" w:lineRule="auto"/>
              <w:widowControl/>
              <w:rPr>
                <w:rFonts w:hint="default" w:ascii="宋体" w:hAnsi="宋体" w:cs="宋体"/>
                <w:bCs/>
                <w:sz w:val="21"/>
                <w:szCs w:val="21"/>
                <w:highlight w:val="none"/>
                <w:lang w:val="en-US"/>
              </w:rPr>
            </w:pPr>
            <w:r>
              <w:rPr>
                <w:rFonts w:hint="eastAsia" w:ascii="宋体" w:hAnsi="宋体" w:cs="宋体"/>
                <w:color w:val="auto"/>
                <w:sz w:val="21"/>
                <w:szCs w:val="21"/>
                <w:highlight w:val="none"/>
                <w:lang w:val="en-US" w:eastAsia="zh-CN"/>
              </w:rPr>
              <w:t xml:space="preserve">应急服务能力</w:t>
            </w:r>
            <w:r/>
          </w:p>
        </w:tc>
        <w:tc>
          <w:tcPr>
            <w:tcW w:w="783" w:type="dxa"/>
            <w:vAlign w:val="center"/>
            <w:textDirection w:val="lrTb"/>
            <w:noWrap w:val="false"/>
          </w:tcPr>
          <w:p>
            <w:pPr>
              <w:jc w:val="center"/>
              <w:spacing w:line="360" w:lineRule="auto"/>
              <w:widowControl/>
              <w:rPr>
                <w:rFonts w:ascii="宋体" w:hAnsi="宋体" w:cs="宋体"/>
                <w:bCs/>
                <w:sz w:val="21"/>
                <w:szCs w:val="21"/>
                <w:highlight w:val="none"/>
              </w:rPr>
            </w:pPr>
            <w:r>
              <w:rPr>
                <w:rFonts w:hint="eastAsia" w:ascii="宋体" w:hAnsi="宋体" w:cs="宋体"/>
                <w:color w:val="auto"/>
                <w:sz w:val="21"/>
                <w:szCs w:val="21"/>
                <w:highlight w:val="none"/>
                <w:lang w:val="en-US" w:eastAsia="zh-CN"/>
              </w:rPr>
              <w:t xml:space="preserve">3</w:t>
            </w:r>
            <w:r/>
          </w:p>
        </w:tc>
        <w:tc>
          <w:tcPr>
            <w:tcW w:w="4328" w:type="dxa"/>
            <w:vAlign w:val="center"/>
            <w:textDirection w:val="lrTb"/>
            <w:noWrap w:val="false"/>
          </w:tcPr>
          <w:p>
            <w:pPr>
              <w:numPr>
                <w:ilvl w:val="0"/>
                <w:numId w:val="0"/>
              </w:numPr>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投标人具备突发应急监测能力，投标人自接到采购人通知后，派遣有资质的员工前往现场，按规范取样并送达投标人实验室（即投标人CMA资质认定证书所在地址），承诺其检测实验室到达采购人路程时间≤0.5小时的，得3分；0.5小时&lt;路程时间≤1小时的，得2分；1小时&lt;路程时间≤2小时的，得1分；其余不得分。</w:t>
            </w:r>
            <w:r/>
          </w:p>
        </w:tc>
        <w:tc>
          <w:tcPr>
            <w:tcW w:w="1941" w:type="dxa"/>
            <w:vAlign w:val="center"/>
            <w:textDirection w:val="lrTb"/>
            <w:noWrap w:val="false"/>
          </w:tcPr>
          <w:p>
            <w:pPr>
              <w:numPr>
                <w:ilvl w:val="0"/>
                <w:numId w:val="0"/>
              </w:numPr>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提供承诺书原件加盖公章。格式自拟,承诺书需附有清晰的由高德或者百度地图导航的时间，工作日正常工作时间段，交通方式为汽车。地点设置为：投标人资质认定证书所在地址至常州市生态环境局常州经济开发区分局。</w:t>
            </w:r>
            <w:r/>
          </w:p>
        </w:tc>
      </w:tr>
      <w:tr>
        <w:trPr>
          <w:jc w:val="center"/>
          <w:trHeight w:val="323"/>
        </w:trPr>
        <w:tc>
          <w:tcPr>
            <w:gridSpan w:val="2"/>
            <w:tcW w:w="1825" w:type="dxa"/>
            <w:vAlign w:val="center"/>
            <w:textDirection w:val="lrTb"/>
            <w:noWrap w:val="false"/>
          </w:tcPr>
          <w:p>
            <w:pPr>
              <w:ind w:firstLine="28"/>
              <w:jc w:val="center"/>
              <w:rPr>
                <w:rFonts w:ascii="宋体" w:hAnsi="宋体" w:cs="宋体"/>
                <w:bCs/>
                <w:sz w:val="21"/>
                <w:szCs w:val="21"/>
                <w:highlight w:val="none"/>
              </w:rPr>
            </w:pPr>
            <w:r>
              <w:rPr>
                <w:rFonts w:hint="eastAsia" w:ascii="宋体" w:hAnsi="宋体" w:cs="宋体"/>
                <w:bCs/>
                <w:sz w:val="21"/>
                <w:szCs w:val="21"/>
                <w:highlight w:val="none"/>
              </w:rPr>
              <w:t xml:space="preserve">合计</w:t>
            </w:r>
            <w:r/>
          </w:p>
        </w:tc>
        <w:tc>
          <w:tcPr>
            <w:tcW w:w="783" w:type="dxa"/>
            <w:vAlign w:val="center"/>
            <w:textDirection w:val="lrTb"/>
            <w:noWrap w:val="false"/>
          </w:tcPr>
          <w:p>
            <w:pPr>
              <w:ind w:firstLine="28"/>
              <w:jc w:val="center"/>
              <w:rPr>
                <w:rFonts w:ascii="宋体" w:hAnsi="宋体" w:cs="宋体"/>
                <w:bCs/>
                <w:sz w:val="21"/>
                <w:szCs w:val="21"/>
                <w:highlight w:val="none"/>
              </w:rPr>
            </w:pPr>
            <w:r>
              <w:rPr>
                <w:rFonts w:hint="eastAsia" w:ascii="宋体" w:hAnsi="宋体" w:cs="宋体"/>
                <w:bCs/>
                <w:sz w:val="21"/>
                <w:szCs w:val="21"/>
                <w:highlight w:val="none"/>
              </w:rPr>
              <w:t xml:space="preserve">100</w:t>
            </w:r>
            <w:r/>
          </w:p>
        </w:tc>
        <w:tc>
          <w:tcPr>
            <w:gridSpan w:val="2"/>
            <w:tcW w:w="6269" w:type="dxa"/>
            <w:vAlign w:val="center"/>
            <w:textDirection w:val="lrTb"/>
            <w:noWrap w:val="false"/>
          </w:tcPr>
          <w:p>
            <w:pPr>
              <w:rPr>
                <w:rFonts w:ascii="宋体" w:hAnsi="宋体" w:cs="宋体"/>
                <w:bCs/>
                <w:sz w:val="21"/>
                <w:szCs w:val="21"/>
                <w:highlight w:val="none"/>
              </w:rPr>
            </w:pPr>
            <w:r>
              <w:rPr>
                <w:rFonts w:ascii="宋体" w:hAnsi="宋体" w:cs="宋体"/>
                <w:bCs/>
                <w:sz w:val="21"/>
                <w:szCs w:val="21"/>
                <w:highlight w:val="none"/>
              </w:rPr>
            </w:r>
            <w:r/>
          </w:p>
        </w:tc>
      </w:tr>
    </w:tbl>
    <w:p>
      <w:pPr>
        <w:contextualSpacing/>
        <w:spacing w:line="360" w:lineRule="auto"/>
        <w:rPr>
          <w:rFonts w:ascii="宋体" w:hAnsi="宋体" w:cs="宋体"/>
          <w:bCs/>
          <w:sz w:val="24"/>
          <w:highlight w:val="none"/>
        </w:rPr>
      </w:pPr>
      <w:r>
        <w:rPr>
          <w:rFonts w:hint="eastAsia" w:ascii="宋体" w:hAnsi="宋体" w:cs="宋体"/>
          <w:bCs/>
          <w:sz w:val="24"/>
          <w:highlight w:val="none"/>
        </w:rPr>
        <w:t xml:space="preserve">注：1.评分细则中要求提供的证明文件及资料等在投标文件中提供并加盖公章，否则不得分。</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2.评审时，未能按以上要求提供相应证明的，不作为评审依据，不得分。</w:t>
      </w:r>
      <w:r/>
    </w:p>
    <w:p>
      <w:pPr>
        <w:pStyle w:val="1038"/>
        <w:ind w:firstLine="0"/>
        <w:spacing w:line="360" w:lineRule="auto"/>
        <w:rPr>
          <w:rFonts w:ascii="宋体" w:hAnsi="宋体" w:cs="宋体"/>
          <w:b/>
          <w:sz w:val="28"/>
          <w:szCs w:val="28"/>
          <w:highlight w:val="none"/>
        </w:rPr>
      </w:pPr>
      <w:r>
        <w:rPr>
          <w:rFonts w:ascii="宋体" w:hAnsi="宋体" w:cs="宋体"/>
          <w:b/>
          <w:sz w:val="28"/>
          <w:szCs w:val="28"/>
          <w:highlight w:val="none"/>
        </w:rPr>
      </w:r>
      <w:r/>
    </w:p>
    <w:p>
      <w:pPr>
        <w:pStyle w:val="1038"/>
        <w:ind w:firstLine="0"/>
        <w:spacing w:line="360" w:lineRule="auto"/>
        <w:rPr>
          <w:rFonts w:ascii="宋体" w:hAnsi="宋体" w:cs="宋体"/>
          <w:b/>
          <w:sz w:val="28"/>
          <w:szCs w:val="28"/>
          <w:highlight w:val="none"/>
        </w:rPr>
      </w:pPr>
      <w:r>
        <w:rPr>
          <w:rFonts w:ascii="宋体" w:hAnsi="宋体" w:cs="宋体"/>
          <w:b/>
          <w:sz w:val="28"/>
          <w:szCs w:val="28"/>
          <w:highlight w:val="none"/>
        </w:rPr>
      </w:r>
      <w:r/>
    </w:p>
    <w:p>
      <w:pPr>
        <w:pStyle w:val="1038"/>
        <w:ind w:firstLine="0"/>
        <w:spacing w:line="360" w:lineRule="auto"/>
        <w:rPr>
          <w:rFonts w:ascii="宋体" w:hAnsi="宋体" w:cs="宋体"/>
          <w:b/>
          <w:sz w:val="28"/>
          <w:szCs w:val="28"/>
          <w:highlight w:val="none"/>
        </w:rPr>
      </w:pPr>
      <w:r/>
      <w:bookmarkStart w:id="514" w:name="_Toc14105"/>
      <w:r/>
      <w:bookmarkStart w:id="515" w:name="_Toc19188"/>
      <w:r>
        <w:rPr>
          <w:rFonts w:hint="eastAsia" w:ascii="宋体" w:hAnsi="宋体" w:cs="宋体"/>
          <w:b/>
          <w:sz w:val="28"/>
          <w:szCs w:val="28"/>
          <w:highlight w:val="none"/>
        </w:rPr>
        <w:br w:type="page" w:clear="all"/>
      </w:r>
      <w:r/>
    </w:p>
    <w:p>
      <w:pPr>
        <w:pStyle w:val="989"/>
        <w:ind w:left="343" w:hanging="343"/>
        <w:rPr>
          <w:rFonts w:ascii="宋体" w:hAnsi="宋体" w:cs="宋体"/>
          <w:highlight w:val="none"/>
        </w:rPr>
      </w:pPr>
      <w:r/>
      <w:bookmarkStart w:id="516" w:name="_Toc16556"/>
      <w:r>
        <w:rPr>
          <w:rFonts w:hint="eastAsia" w:ascii="宋体" w:hAnsi="宋体" w:cs="宋体"/>
          <w:highlight w:val="none"/>
        </w:rPr>
        <w:t xml:space="preserve">第五章 采购需求</w:t>
      </w:r>
      <w:bookmarkEnd w:id="514"/>
      <w:r/>
      <w:bookmarkEnd w:id="515"/>
      <w:r/>
      <w:bookmarkEnd w:id="516"/>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一、项目概况</w:t>
      </w:r>
      <w:r/>
    </w:p>
    <w:p>
      <w:pPr>
        <w:ind w:firstLine="488"/>
        <w:keepLines w:val="0"/>
        <w:keepNext w:val="0"/>
        <w:pageBreakBefore w:val="0"/>
        <w:spacing w:line="360" w:lineRule="auto"/>
        <w:widowControl w:val="off"/>
        <w:rPr>
          <w:rFonts w:hint="eastAsia" w:ascii="宋体" w:hAnsi="宋体" w:eastAsia="宋体" w:cs="宋体"/>
          <w:color w:val="auto"/>
          <w:spacing w:val="2"/>
          <w:sz w:val="24"/>
          <w:szCs w:val="24"/>
          <w:highlight w:val="none"/>
          <w:u w:val="none"/>
          <w:lang w:val="en-US" w:eastAsia="zh-CN"/>
        </w:rPr>
        <w:outlineLvl w:val="9"/>
      </w:pPr>
      <w:r>
        <w:rPr>
          <w:rFonts w:hint="eastAsia" w:ascii="宋体" w:hAnsi="宋体" w:eastAsia="宋体" w:cs="宋体"/>
          <w:color w:val="auto"/>
          <w:spacing w:val="2"/>
          <w:sz w:val="24"/>
          <w:szCs w:val="24"/>
          <w:highlight w:val="none"/>
          <w:u w:val="none"/>
          <w:lang w:eastAsia="zh-CN"/>
        </w:rPr>
        <w:t xml:space="preserve">本项目是</w:t>
      </w:r>
      <w:r>
        <w:rPr>
          <w:rFonts w:hint="eastAsia" w:ascii="宋体" w:hAnsi="宋体" w:cs="宋体"/>
          <w:color w:val="auto"/>
          <w:spacing w:val="2"/>
          <w:sz w:val="24"/>
          <w:szCs w:val="24"/>
          <w:highlight w:val="none"/>
          <w:u w:val="none"/>
          <w:lang w:eastAsia="zh-CN"/>
        </w:rPr>
        <w:t xml:space="preserve">经开区2026年委托第三方监测服务项目</w:t>
      </w:r>
      <w:r>
        <w:rPr>
          <w:rFonts w:hint="eastAsia" w:ascii="宋体" w:hAnsi="宋体" w:eastAsia="宋体" w:cs="宋体"/>
          <w:color w:val="auto"/>
          <w:spacing w:val="2"/>
          <w:sz w:val="24"/>
          <w:szCs w:val="24"/>
          <w:highlight w:val="none"/>
          <w:u w:val="none"/>
          <w:lang w:eastAsia="zh-CN"/>
        </w:rPr>
        <w:t xml:space="preserve">，</w:t>
      </w:r>
      <w:r>
        <w:rPr>
          <w:rFonts w:hint="eastAsia" w:ascii="宋体" w:hAnsi="宋体" w:eastAsia="宋体" w:cs="宋体"/>
          <w:color w:val="auto"/>
          <w:spacing w:val="2"/>
          <w:sz w:val="24"/>
          <w:szCs w:val="24"/>
          <w:highlight w:val="none"/>
          <w:u w:val="none"/>
          <w:lang w:val="en-US" w:eastAsia="zh-CN"/>
        </w:rPr>
        <w:t xml:space="preserve">服务内容包括执法和应急监测；</w:t>
      </w:r>
      <w:r>
        <w:rPr>
          <w:rFonts w:hint="eastAsia" w:ascii="宋体" w:hAnsi="宋体" w:eastAsia="宋体" w:cs="宋体"/>
          <w:i w:val="0"/>
          <w:iCs w:val="0"/>
          <w:color w:val="000000"/>
          <w:sz w:val="24"/>
          <w:szCs w:val="24"/>
          <w:highlight w:val="none"/>
          <w:u w:val="none"/>
          <w:lang w:val="en-US" w:eastAsia="zh-CN" w:bidi="ar"/>
        </w:rPr>
        <w:t xml:space="preserve">重点污染源双随机监测和监督性监测；</w:t>
      </w:r>
      <w:r>
        <w:rPr>
          <w:rFonts w:hint="eastAsia" w:ascii="宋体" w:hAnsi="宋体" w:eastAsia="宋体" w:cs="宋体"/>
          <w:color w:val="auto"/>
          <w:spacing w:val="2"/>
          <w:sz w:val="24"/>
          <w:szCs w:val="24"/>
          <w:highlight w:val="none"/>
          <w:u w:val="none"/>
          <w:lang w:val="en-US" w:eastAsia="zh-CN"/>
        </w:rPr>
        <w:t xml:space="preserve">大气、地表水、农村水体、农污设施、噪声等环境监测；</w:t>
      </w:r>
      <w:r>
        <w:rPr>
          <w:rFonts w:hint="eastAsia" w:ascii="宋体" w:hAnsi="宋体" w:eastAsia="宋体" w:cs="宋体"/>
          <w:i w:val="0"/>
          <w:iCs w:val="0"/>
          <w:color w:val="000000"/>
          <w:sz w:val="24"/>
          <w:szCs w:val="24"/>
          <w:highlight w:val="none"/>
          <w:u w:val="none"/>
          <w:lang w:val="en-US" w:eastAsia="zh-CN" w:bidi="ar"/>
        </w:rPr>
        <w:t xml:space="preserve">区级地表水监测</w:t>
      </w:r>
      <w:r>
        <w:rPr>
          <w:rFonts w:hint="eastAsia" w:ascii="宋体" w:hAnsi="宋体" w:eastAsia="宋体" w:cs="宋体"/>
          <w:color w:val="auto"/>
          <w:spacing w:val="2"/>
          <w:sz w:val="24"/>
          <w:szCs w:val="24"/>
          <w:highlight w:val="none"/>
          <w:u w:val="none"/>
          <w:lang w:val="en-US" w:eastAsia="zh-CN"/>
        </w:rPr>
        <w:t xml:space="preserve">等，为生态环境管理提供支撑服务。</w:t>
      </w:r>
      <w:r/>
    </w:p>
    <w:p>
      <w:pPr>
        <w:contextualSpacing/>
        <w:ind w:firstLine="480"/>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清单如下：</w:t>
      </w:r>
      <w:r/>
    </w:p>
    <w:tbl>
      <w:tblPr>
        <w:tblStyle w:val="994"/>
        <w:tblW w:w="78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32"/>
        <w:gridCol w:w="2147"/>
        <w:gridCol w:w="1200"/>
        <w:gridCol w:w="3759"/>
      </w:tblGrid>
      <w:tr>
        <w:trPr>
          <w:jc w:val="center"/>
          <w:trHeight w:val="320"/>
        </w:trPr>
        <w:tc>
          <w:tcPr>
            <w:shd w:val="clear" w:color="auto" w:fill="auto"/>
            <w:tcBorders>
              <w:top w:val="single" w:color="000000" w:sz="8" w:space="0"/>
              <w:left w:val="single" w:color="000000" w:sz="8" w:space="0"/>
              <w:bottom w:val="single" w:color="000000" w:sz="8" w:space="0"/>
              <w:right w:val="single" w:color="000000" w:sz="8"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包号</w:t>
            </w:r>
            <w:r/>
          </w:p>
        </w:tc>
        <w:tc>
          <w:tcPr>
            <w:shd w:val="clear" w:color="auto" w:fill="auto"/>
            <w:tcBorders>
              <w:top w:val="single" w:color="000000" w:sz="8" w:space="0"/>
              <w:left w:val="single" w:color="000000" w:sz="8" w:space="0"/>
              <w:bottom w:val="single" w:color="000000" w:sz="8" w:space="0"/>
              <w:right w:val="single" w:color="000000" w:sz="8" w:space="0"/>
            </w:tcBorders>
            <w:tcW w:w="214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标的名称</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预算金额</w:t>
            </w:r>
            <w:r/>
          </w:p>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（万元）</w:t>
            </w:r>
            <w:r/>
          </w:p>
        </w:tc>
        <w:tc>
          <w:tcPr>
            <w:shd w:val="clear" w:color="auto" w:fill="auto"/>
            <w:tcBorders>
              <w:top w:val="single" w:color="000000" w:sz="8" w:space="0"/>
              <w:left w:val="single" w:color="000000" w:sz="8" w:space="0"/>
              <w:bottom w:val="single" w:color="000000" w:sz="8" w:space="0"/>
              <w:right w:val="single" w:color="000000" w:sz="8" w:space="0"/>
            </w:tcBorders>
            <w:tcW w:w="37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标的内容</w:t>
            </w:r>
            <w:r/>
          </w:p>
        </w:tc>
      </w:tr>
      <w:tr>
        <w:trPr>
          <w:jc w:val="center"/>
          <w:trHeight w:val="320"/>
        </w:trPr>
        <w:tc>
          <w:tcPr>
            <w:shd w:val="clear" w:color="auto" w:fill="auto"/>
            <w:tcBorders>
              <w:top w:val="single" w:color="000000" w:sz="8" w:space="0"/>
              <w:left w:val="single" w:color="000000" w:sz="8" w:space="0"/>
              <w:bottom w:val="single" w:color="000000" w:sz="8" w:space="0"/>
              <w:right w:val="single" w:color="000000" w:sz="8" w:space="0"/>
            </w:tcBorders>
            <w:tcW w:w="732"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214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执法、应急监测</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p>
        </w:tc>
        <w:tc>
          <w:tcPr>
            <w:shd w:val="clear" w:color="auto" w:fill="auto"/>
            <w:tcBorders>
              <w:top w:val="single" w:color="000000" w:sz="8" w:space="0"/>
              <w:left w:val="single" w:color="000000" w:sz="8" w:space="0"/>
              <w:bottom w:val="single" w:color="000000" w:sz="8" w:space="0"/>
              <w:right w:val="single" w:color="000000" w:sz="8" w:space="0"/>
            </w:tcBorders>
            <w:tcW w:w="37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对群众举报的信访执法进行相关监测，对突发性环境事件进行应急监测。</w:t>
            </w:r>
            <w:r/>
          </w:p>
        </w:tc>
      </w:tr>
      <w:tr>
        <w:trPr>
          <w:jc w:val="center"/>
          <w:trHeight w:val="320"/>
        </w:trPr>
        <w:tc>
          <w:tcPr>
            <w:shd w:val="clear" w:color="auto" w:fill="auto"/>
            <w:tcBorders>
              <w:top w:val="single" w:color="000000" w:sz="8" w:space="0"/>
              <w:left w:val="single" w:color="000000" w:sz="8" w:space="0"/>
              <w:bottom w:val="single" w:color="000000" w:sz="8" w:space="0"/>
              <w:right w:val="single" w:color="000000" w:sz="8" w:space="0"/>
            </w:tcBorders>
            <w:tcW w:w="732"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214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重点污染源双随机监测和监督性监测（横山桥镇+横林镇）</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auto"/>
            <w:tcBorders>
              <w:top w:val="single" w:color="000000" w:sz="8" w:space="0"/>
              <w:left w:val="single" w:color="000000" w:sz="8" w:space="0"/>
              <w:bottom w:val="single" w:color="000000" w:sz="8" w:space="0"/>
              <w:right w:val="single" w:color="000000" w:sz="8" w:space="0"/>
            </w:tcBorders>
            <w:tcW w:w="37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根据年度监管要求要求，完成重点污染源双随机监测和监督性监测。</w:t>
            </w:r>
            <w:r/>
          </w:p>
        </w:tc>
      </w:tr>
      <w:tr>
        <w:trPr>
          <w:jc w:val="center"/>
          <w:trHeight w:val="320"/>
        </w:trPr>
        <w:tc>
          <w:tcPr>
            <w:shd w:val="clear" w:color="auto" w:fill="auto"/>
            <w:tcBorders>
              <w:top w:val="single" w:color="000000" w:sz="8" w:space="0"/>
              <w:left w:val="single" w:color="000000" w:sz="8" w:space="0"/>
              <w:bottom w:val="single" w:color="000000" w:sz="8" w:space="0"/>
              <w:right w:val="single" w:color="000000" w:sz="8" w:space="0"/>
            </w:tcBorders>
            <w:tcW w:w="732"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214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重点污染源双随机监测和监督性监测</w:t>
            </w:r>
            <w:r>
              <w:rPr>
                <w:rFonts w:hint="eastAsia" w:ascii="宋体" w:hAnsi="宋体" w:eastAsia="宋体" w:cs="宋体"/>
                <w:i w:val="0"/>
                <w:iCs w:val="0"/>
                <w:color w:val="auto"/>
                <w:sz w:val="24"/>
                <w:szCs w:val="24"/>
                <w:highlight w:val="none"/>
                <w:u w:val="none"/>
                <w:lang w:val="en-US" w:eastAsia="zh-CN" w:bidi="ar"/>
              </w:rPr>
              <w:t xml:space="preserve">（潞城街道</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color w:val="auto"/>
                <w:sz w:val="24"/>
                <w:szCs w:val="24"/>
                <w:highlight w:val="none"/>
                <w:lang w:val="en-US" w:eastAsia="zh-CN"/>
              </w:rPr>
              <w:t xml:space="preserve">丁堰街道+戚墅堰街道</w:t>
            </w:r>
            <w:r>
              <w:rPr>
                <w:rFonts w:hint="eastAsia" w:ascii="宋体" w:hAnsi="宋体" w:eastAsia="宋体" w:cs="宋体"/>
                <w:i w:val="0"/>
                <w:iCs w:val="0"/>
                <w:color w:val="auto"/>
                <w:sz w:val="24"/>
                <w:szCs w:val="24"/>
                <w:highlight w:val="none"/>
                <w:u w:val="none"/>
                <w:lang w:val="en-US" w:eastAsia="zh-CN" w:bidi="ar"/>
              </w:rPr>
              <w:t xml:space="preserve">+遥观镇）</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Borders>
              <w:top w:val="single" w:color="000000" w:sz="8" w:space="0"/>
              <w:left w:val="single" w:color="000000" w:sz="8" w:space="0"/>
              <w:bottom w:val="single" w:color="000000" w:sz="8" w:space="0"/>
              <w:right w:val="single" w:color="000000" w:sz="8" w:space="0"/>
            </w:tcBorders>
            <w:tcW w:w="37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根据年度监管要求要求，完成重点污染源双随机监测和监督性监测。</w:t>
            </w:r>
            <w:r/>
          </w:p>
        </w:tc>
      </w:tr>
      <w:tr>
        <w:trPr>
          <w:jc w:val="center"/>
          <w:trHeight w:val="1517"/>
        </w:trPr>
        <w:tc>
          <w:tcPr>
            <w:shd w:val="clear" w:color="auto" w:fill="auto"/>
            <w:tcBorders>
              <w:top w:val="single" w:color="000000" w:sz="8" w:space="0"/>
              <w:left w:val="single" w:color="000000" w:sz="8" w:space="0"/>
              <w:bottom w:val="single" w:color="000000" w:sz="8" w:space="0"/>
              <w:right w:val="single" w:color="000000" w:sz="8"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8" w:space="0"/>
              <w:left w:val="single" w:color="000000" w:sz="8" w:space="0"/>
              <w:bottom w:val="single" w:color="000000" w:sz="8" w:space="0"/>
              <w:right w:val="single" w:color="000000" w:sz="8" w:space="0"/>
            </w:tcBorders>
            <w:tcW w:w="214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大气、地表水、农村水体、农污设施、噪声等环境监测</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auto"/>
            <w:tcBorders>
              <w:top w:val="single" w:color="000000" w:sz="8" w:space="0"/>
              <w:left w:val="single" w:color="000000" w:sz="8" w:space="0"/>
              <w:bottom w:val="single" w:color="000000" w:sz="8" w:space="0"/>
              <w:right w:val="single" w:color="000000" w:sz="8" w:space="0"/>
            </w:tcBorders>
            <w:tcW w:w="37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根据省、市下发的年度监测任务，完成大气、地表水、农村水体、农污设施、噪声等区级环境监测任务。</w:t>
            </w:r>
            <w:r/>
          </w:p>
        </w:tc>
      </w:tr>
      <w:tr>
        <w:trPr>
          <w:jc w:val="center"/>
          <w:trHeight w:val="986"/>
        </w:trPr>
        <w:tc>
          <w:tcPr>
            <w:shd w:val="clear" w:color="auto" w:fill="auto"/>
            <w:tcBorders>
              <w:top w:val="single" w:color="000000" w:sz="8" w:space="0"/>
              <w:left w:val="single" w:color="000000" w:sz="8" w:space="0"/>
              <w:bottom w:val="single" w:color="000000" w:sz="8" w:space="0"/>
              <w:right w:val="single" w:color="000000" w:sz="8" w:space="0"/>
            </w:tcBorders>
            <w:tcW w:w="73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8" w:space="0"/>
              <w:left w:val="single" w:color="000000" w:sz="8" w:space="0"/>
              <w:bottom w:val="single" w:color="000000" w:sz="8" w:space="0"/>
              <w:right w:val="single" w:color="000000" w:sz="8" w:space="0"/>
            </w:tcBorders>
            <w:tcW w:w="214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区级地表水监测</w:t>
            </w:r>
            <w:r/>
          </w:p>
        </w:tc>
        <w:tc>
          <w:tcPr>
            <w:shd w:val="clear" w:color="auto" w:fill="auto"/>
            <w:tcBorders>
              <w:top w:val="single" w:color="000000" w:sz="8" w:space="0"/>
              <w:left w:val="single" w:color="000000" w:sz="8" w:space="0"/>
              <w:bottom w:val="single" w:color="000000" w:sz="8" w:space="0"/>
              <w:right w:val="single" w:color="000000" w:sz="8"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shd w:val="clear" w:color="auto" w:fill="auto"/>
            <w:tcBorders>
              <w:top w:val="single" w:color="000000" w:sz="8" w:space="0"/>
              <w:left w:val="single" w:color="000000" w:sz="8" w:space="0"/>
              <w:bottom w:val="single" w:color="000000" w:sz="8" w:space="0"/>
              <w:right w:val="single" w:color="000000" w:sz="8" w:space="0"/>
            </w:tcBorders>
            <w:tcW w:w="375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根据经开区</w:t>
            </w:r>
            <w:r>
              <w:rPr>
                <w:rFonts w:hint="eastAsia" w:ascii="宋体" w:hAnsi="宋体" w:cs="宋体"/>
                <w:i w:val="0"/>
                <w:iCs w:val="0"/>
                <w:color w:val="000000"/>
                <w:sz w:val="24"/>
                <w:szCs w:val="24"/>
                <w:highlight w:val="none"/>
                <w:u w:val="none"/>
                <w:lang w:val="en-US" w:eastAsia="zh-CN" w:bidi="ar"/>
              </w:rPr>
              <w:t xml:space="preserve">的区级监测</w:t>
            </w:r>
            <w:r>
              <w:rPr>
                <w:rFonts w:hint="eastAsia" w:ascii="宋体" w:hAnsi="宋体" w:eastAsia="宋体" w:cs="宋体"/>
                <w:i w:val="0"/>
                <w:iCs w:val="0"/>
                <w:color w:val="000000"/>
                <w:sz w:val="24"/>
                <w:szCs w:val="24"/>
                <w:highlight w:val="none"/>
                <w:u w:val="none"/>
                <w:lang w:val="en-US" w:eastAsia="zh-CN" w:bidi="ar"/>
              </w:rPr>
              <w:t xml:space="preserve">要求，完成相关河道的周测和月测。</w:t>
            </w:r>
            <w:r/>
          </w:p>
        </w:tc>
      </w:tr>
    </w:tbl>
    <w:p>
      <w:pPr>
        <w:contextualSpacing/>
        <w:ind w:firstLine="24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服务期限：自合同签订之日起1年。 </w:t>
      </w:r>
      <w:r/>
    </w:p>
    <w:p>
      <w:pPr>
        <w:pStyle w:val="1036"/>
        <w:numPr>
          <w:ilvl w:val="0"/>
          <w:numId w:val="11"/>
        </w:numPr>
        <w:ind w:left="0" w:firstLine="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商务要求</w:t>
      </w:r>
      <w:r/>
    </w:p>
    <w:p>
      <w:pPr>
        <w:contextualSpacing/>
        <w:ind w:firstLine="480"/>
        <w:spacing w:line="360" w:lineRule="auto"/>
        <w:rPr>
          <w:rFonts w:hint="eastAsia" w:ascii="宋体" w:hAnsi="宋体" w:eastAsia="宋体" w:cs="宋体"/>
          <w:color w:val="auto"/>
          <w:sz w:val="24"/>
          <w:szCs w:val="24"/>
          <w:highlight w:val="none"/>
          <w:u w:val="none"/>
          <w:lang w:val="en-US" w:eastAsia="zh-CN"/>
        </w:rPr>
      </w:pPr>
      <w:r>
        <w:rPr>
          <w:rFonts w:hint="eastAsia" w:ascii="宋体" w:hAnsi="宋体" w:eastAsia="宋体" w:cs="宋体"/>
          <w:bCs/>
          <w:color w:val="auto"/>
          <w:sz w:val="24"/>
          <w:szCs w:val="24"/>
          <w:highlight w:val="none"/>
        </w:rPr>
        <w:t xml:space="preserve">1.付款方式</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分两笔结算支付，</w:t>
      </w:r>
      <w:r>
        <w:rPr>
          <w:rFonts w:hint="eastAsia" w:ascii="宋体" w:hAnsi="宋体" w:cs="宋体"/>
          <w:bCs/>
          <w:color w:val="auto"/>
          <w:sz w:val="24"/>
          <w:highlight w:val="none"/>
        </w:rPr>
        <w:t xml:space="preserve">2026年6月底根据完成的工作量按实结算，</w:t>
      </w:r>
      <w:r>
        <w:rPr>
          <w:rFonts w:hint="eastAsia" w:ascii="宋体" w:hAnsi="宋体" w:cs="宋体"/>
          <w:bCs/>
          <w:color w:val="auto"/>
          <w:sz w:val="24"/>
          <w:highlight w:val="none"/>
          <w:lang w:val="en-US" w:eastAsia="zh-CN"/>
        </w:rPr>
        <w:t xml:space="preserve">服务期结束后</w:t>
      </w:r>
      <w:r>
        <w:rPr>
          <w:rFonts w:hint="eastAsia" w:ascii="宋体" w:hAnsi="宋体" w:eastAsia="宋体" w:cs="宋体"/>
          <w:color w:val="auto"/>
          <w:sz w:val="24"/>
          <w:szCs w:val="24"/>
          <w:highlight w:val="none"/>
        </w:rPr>
        <w:t xml:space="preserve">经履约验收后</w:t>
      </w:r>
      <w:r>
        <w:rPr>
          <w:rFonts w:hint="eastAsia" w:ascii="宋体" w:hAnsi="宋体" w:cs="宋体"/>
          <w:bCs/>
          <w:color w:val="auto"/>
          <w:sz w:val="24"/>
          <w:highlight w:val="none"/>
        </w:rPr>
        <w:t xml:space="preserve">根据完成的工作量按实结算。</w:t>
      </w:r>
      <w:r/>
    </w:p>
    <w:p>
      <w:pPr>
        <w:pStyle w:val="1036"/>
        <w:numPr>
          <w:ilvl w:val="0"/>
          <w:numId w:val="11"/>
        </w:numPr>
        <w:ind w:left="0" w:firstLine="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具体清单及内容</w:t>
      </w:r>
      <w:r/>
    </w:p>
    <w:p>
      <w:pPr>
        <w:keepLines w:val="0"/>
        <w:keepNext w:val="0"/>
        <w:pageBreakBefore w:val="0"/>
        <w:spacing w:line="560" w:lineRule="exact"/>
        <w:widowControl w:val="off"/>
        <w:rPr>
          <w:rFonts w:hint="eastAsia" w:ascii="宋体" w:hAnsi="宋体" w:eastAsia="宋体" w:cs="宋体"/>
          <w:b/>
          <w:bCs/>
          <w:color w:val="auto"/>
          <w:sz w:val="24"/>
          <w:szCs w:val="24"/>
          <w:highlight w:val="none"/>
          <w:u w:val="none"/>
          <w:lang w:val="en-US" w:eastAsia="zh-CN"/>
        </w:rPr>
        <w:outlineLvl w:val="9"/>
      </w:pPr>
      <w:r>
        <w:rPr>
          <w:rFonts w:hint="eastAsia" w:ascii="宋体" w:hAnsi="宋体" w:eastAsia="宋体" w:cs="宋体"/>
          <w:b/>
          <w:bCs/>
          <w:color w:val="auto"/>
          <w:sz w:val="24"/>
          <w:szCs w:val="24"/>
          <w:highlight w:val="none"/>
          <w:u w:val="none"/>
          <w:lang w:val="en-US" w:eastAsia="zh-CN"/>
        </w:rPr>
        <w:t xml:space="preserve">采购包1：执法、应急监测</w:t>
      </w:r>
      <w:r/>
    </w:p>
    <w:p>
      <w:pPr>
        <w:numPr>
          <w:ilvl w:val="0"/>
          <w:numId w:val="12"/>
        </w:numPr>
        <w:keepLines w:val="0"/>
        <w:keepNext w:val="0"/>
        <w:pageBreakBefore w:val="0"/>
        <w:spacing w:line="560" w:lineRule="exact"/>
        <w:widowControl w:val="off"/>
        <w:rPr>
          <w:rFonts w:hint="eastAsia" w:ascii="宋体" w:hAnsi="宋体" w:eastAsia="宋体" w:cs="宋体"/>
          <w:b w:val="0"/>
          <w:bCs w:val="0"/>
          <w:color w:val="auto"/>
          <w:sz w:val="24"/>
          <w:szCs w:val="24"/>
          <w:highlight w:val="none"/>
          <w:u w:val="none"/>
          <w:lang w:val="en-US" w:eastAsia="zh-CN"/>
        </w:rPr>
        <w:outlineLvl w:val="9"/>
      </w:pPr>
      <w:r>
        <w:rPr>
          <w:rFonts w:hint="eastAsia" w:ascii="宋体" w:hAnsi="宋体" w:eastAsia="宋体" w:cs="宋体"/>
          <w:b w:val="0"/>
          <w:bCs w:val="0"/>
          <w:color w:val="auto"/>
          <w:sz w:val="24"/>
          <w:szCs w:val="24"/>
          <w:highlight w:val="none"/>
          <w:u w:val="none"/>
          <w:lang w:val="en-US" w:eastAsia="zh-CN"/>
        </w:rPr>
        <w:t xml:space="preserve">执法信访、上级交办问题以及突发性环境事件的应急监测，要求第三方监测单位24小时值班，遇到群众反应强烈或紧急环境事件时确保应急监测1小时内到达采样地点，采样后立即进行数据监测，24小时内出具监测数据。</w:t>
      </w:r>
      <w:r/>
    </w:p>
    <w:p>
      <w:pPr>
        <w:numPr>
          <w:ilvl w:val="0"/>
          <w:numId w:val="12"/>
        </w:numPr>
        <w:keepLines w:val="0"/>
        <w:keepNext w:val="0"/>
        <w:pageBreakBefore w:val="0"/>
        <w:spacing w:line="560" w:lineRule="exact"/>
        <w:widowControl w:val="off"/>
        <w:rPr>
          <w:rFonts w:hint="eastAsia" w:ascii="宋体" w:hAnsi="宋体" w:eastAsia="宋体" w:cs="宋体"/>
          <w:b w:val="0"/>
          <w:bCs w:val="0"/>
          <w:color w:val="auto"/>
          <w:sz w:val="24"/>
          <w:szCs w:val="24"/>
          <w:highlight w:val="none"/>
          <w:u w:val="none"/>
          <w:lang w:val="en-US" w:eastAsia="zh-CN"/>
        </w:rPr>
        <w:outlineLvl w:val="9"/>
      </w:pPr>
      <w:r>
        <w:rPr>
          <w:rFonts w:hint="eastAsia" w:ascii="宋体" w:hAnsi="宋体" w:eastAsia="宋体" w:cs="宋体"/>
          <w:b w:val="0"/>
          <w:bCs w:val="0"/>
          <w:color w:val="auto"/>
          <w:sz w:val="24"/>
          <w:szCs w:val="24"/>
          <w:highlight w:val="none"/>
          <w:u w:val="none"/>
          <w:lang w:val="en-US" w:eastAsia="zh-CN"/>
        </w:rPr>
        <w:t xml:space="preserve">承接环境应急监测工作的成交供应商，应明确专人负责与采购人对接具体应急监测工作，并安排监测人员随时待命，如遇应急监测任务时，必须按照采购人要求随叫随到，如成交供应商发生应急监测推诿事宜，视为合同违约行为，采购人可单方面解除合同。</w:t>
      </w:r>
      <w:r/>
    </w:p>
    <w:p>
      <w:pPr>
        <w:numPr>
          <w:ilvl w:val="0"/>
          <w:numId w:val="0"/>
        </w:numPr>
        <w:keepLines w:val="0"/>
        <w:keepNext w:val="0"/>
        <w:pageBreakBefore w:val="0"/>
        <w:spacing w:line="560" w:lineRule="exact"/>
        <w:widowControl w:val="off"/>
        <w:rPr>
          <w:rFonts w:hint="eastAsia" w:ascii="宋体" w:hAnsi="宋体" w:eastAsia="宋体" w:cs="宋体"/>
          <w:b/>
          <w:bCs/>
          <w:color w:val="auto"/>
          <w:sz w:val="24"/>
          <w:szCs w:val="24"/>
          <w:highlight w:val="none"/>
          <w:u w:val="none"/>
          <w:lang w:val="en-US" w:eastAsia="zh-CN"/>
        </w:rPr>
        <w:outlineLvl w:val="9"/>
      </w:pPr>
      <w:r>
        <w:rPr>
          <w:rFonts w:hint="eastAsia" w:ascii="宋体" w:hAnsi="宋体" w:eastAsia="宋体" w:cs="宋体"/>
          <w:b/>
          <w:bCs/>
          <w:color w:val="auto"/>
          <w:sz w:val="24"/>
          <w:szCs w:val="24"/>
          <w:highlight w:val="none"/>
          <w:u w:val="none"/>
          <w:lang w:val="en-US" w:eastAsia="zh-CN"/>
        </w:rPr>
        <w:t xml:space="preserve">采购包2：重点污染源双随机监测和监督性监测（横山桥镇+横林镇）</w:t>
      </w:r>
      <w:r/>
    </w:p>
    <w:tbl>
      <w:tblPr>
        <w:tblStyle w:val="994"/>
        <w:tblW w:w="8422"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0"/>
        <w:gridCol w:w="1192"/>
        <w:gridCol w:w="3683"/>
        <w:gridCol w:w="2777"/>
      </w:tblGrid>
      <w:tr>
        <w:trPr>
          <w:trHeight w:val="1223"/>
        </w:trPr>
        <w:tc>
          <w:tcPr>
            <w:shd w:val="clear" w:color="auto" w:fill="ffffff"/>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widowControl/>
              <w:rPr>
                <w:rFonts w:hint="eastAsia" w:ascii="宋体" w:hAnsi="宋体" w:eastAsia="宋体" w:cs="宋体"/>
                <w:i w:val="0"/>
                <w:iCs w:val="0"/>
                <w:color w:val="333333"/>
                <w:sz w:val="24"/>
                <w:szCs w:val="24"/>
                <w:highlight w:val="none"/>
                <w:u w:val="none"/>
              </w:rPr>
              <w:suppressLineNumbers w:val="0"/>
            </w:pPr>
            <w:r>
              <w:rPr>
                <w:rFonts w:hint="eastAsia" w:ascii="宋体" w:hAnsi="宋体" w:eastAsia="宋体" w:cs="宋体"/>
                <w:i w:val="0"/>
                <w:iCs w:val="0"/>
                <w:color w:val="333333"/>
                <w:sz w:val="24"/>
                <w:szCs w:val="24"/>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jc w:val="center"/>
              <w:keepLines w:val="0"/>
              <w:keepNext w:val="0"/>
              <w:widowControl/>
              <w:rPr>
                <w:rFonts w:hint="eastAsia" w:ascii="宋体" w:hAnsi="宋体" w:eastAsia="宋体" w:cs="宋体"/>
                <w:i w:val="0"/>
                <w:iCs w:val="0"/>
                <w:color w:val="333333"/>
                <w:sz w:val="24"/>
                <w:szCs w:val="24"/>
                <w:highlight w:val="none"/>
                <w:u w:val="none"/>
              </w:rPr>
              <w:suppressLineNumbers w:val="0"/>
            </w:pPr>
            <w:r>
              <w:rPr>
                <w:rFonts w:hint="eastAsia" w:ascii="宋体" w:hAnsi="宋体" w:eastAsia="宋体" w:cs="宋体"/>
                <w:i w:val="0"/>
                <w:iCs w:val="0"/>
                <w:color w:val="333333"/>
                <w:sz w:val="24"/>
                <w:szCs w:val="24"/>
                <w:highlight w:val="none"/>
                <w:u w:val="none"/>
                <w:lang w:val="en-US" w:eastAsia="zh-CN" w:bidi="ar"/>
              </w:rPr>
              <w:t xml:space="preserve">乡镇</w:t>
            </w:r>
            <w:r/>
          </w:p>
        </w:tc>
        <w:tc>
          <w:tcPr>
            <w:shd w:val="clear" w:color="auto" w:fill="ffffff"/>
            <w:tcBorders>
              <w:top w:val="single" w:color="000000" w:sz="4" w:space="0"/>
              <w:left w:val="single" w:color="000000" w:sz="4" w:space="0"/>
              <w:bottom w:val="single" w:color="000000" w:sz="4" w:space="0"/>
              <w:right w:val="single" w:color="000000" w:sz="4" w:space="0"/>
            </w:tcBorders>
            <w:tcW w:w="3683" w:type="dxa"/>
            <w:vAlign w:val="center"/>
            <w:textDirection w:val="lrTb"/>
            <w:noWrap w:val="false"/>
          </w:tcPr>
          <w:p>
            <w:pPr>
              <w:jc w:val="center"/>
              <w:keepLines w:val="0"/>
              <w:keepNext w:val="0"/>
              <w:widowControl/>
              <w:rPr>
                <w:rFonts w:hint="eastAsia" w:ascii="宋体" w:hAnsi="宋体" w:eastAsia="宋体" w:cs="宋体"/>
                <w:i w:val="0"/>
                <w:iCs w:val="0"/>
                <w:color w:val="333333"/>
                <w:sz w:val="24"/>
                <w:szCs w:val="24"/>
                <w:highlight w:val="none"/>
                <w:u w:val="none"/>
              </w:rPr>
              <w:suppressLineNumbers w:val="0"/>
            </w:pPr>
            <w:r>
              <w:rPr>
                <w:rFonts w:hint="eastAsia" w:ascii="宋体" w:hAnsi="宋体" w:eastAsia="宋体" w:cs="宋体"/>
                <w:i w:val="0"/>
                <w:iCs w:val="0"/>
                <w:color w:val="333333"/>
                <w:sz w:val="24"/>
                <w:szCs w:val="24"/>
                <w:highlight w:val="none"/>
                <w:u w:val="none"/>
                <w:lang w:val="en-US" w:eastAsia="zh-CN" w:bidi="ar"/>
              </w:rPr>
              <w:t xml:space="preserve">企业名称</w:t>
            </w:r>
            <w:r/>
          </w:p>
        </w:tc>
        <w:tc>
          <w:tcPr>
            <w:shd w:val="clear" w:color="auto" w:fill="ffffff"/>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jc w:val="center"/>
              <w:keepLines w:val="0"/>
              <w:keepNext w:val="0"/>
              <w:widowControl/>
              <w:rPr>
                <w:rFonts w:hint="eastAsia" w:ascii="宋体" w:hAnsi="宋体" w:eastAsia="宋体" w:cs="宋体"/>
                <w:i w:val="0"/>
                <w:iCs w:val="0"/>
                <w:color w:val="333333"/>
                <w:sz w:val="24"/>
                <w:szCs w:val="24"/>
                <w:highlight w:val="none"/>
                <w:u w:val="none"/>
              </w:rPr>
              <w:suppressLineNumbers w:val="0"/>
            </w:pPr>
            <w:r>
              <w:rPr>
                <w:rFonts w:hint="eastAsia" w:ascii="宋体" w:hAnsi="宋体" w:eastAsia="宋体" w:cs="宋体"/>
                <w:i w:val="0"/>
                <w:iCs w:val="0"/>
                <w:color w:val="333333"/>
                <w:sz w:val="24"/>
                <w:szCs w:val="24"/>
                <w:highlight w:val="none"/>
                <w:u w:val="none"/>
                <w:lang w:val="en-US" w:eastAsia="zh-CN" w:bidi="ar"/>
              </w:rPr>
              <w:t xml:space="preserve">重点单位类别</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常州东方横山水处理有限公司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水环境</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常州华耀建材有限公司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大气环境</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常州大邦化工有限公司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水环境,地下水,大气环境,土壤污染监管</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常州岱成车业有限公司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水环境</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常州市信捷金属制品有限公司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水环境</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常州市农纲铝氧化有限公司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水环境,土壤污染监管</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常州市华星防腐材料有限公司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常州市嘉诺有机硅有限公司(蓉湖路厂区)</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水环境,地下水,土壤污染监管</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常州市国业化工有限公司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大气环境</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常州市天安特种涂料有限公司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常州市恒邦新材料股份有限公司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常州市振邦化工制造有限公司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常州市武进合力纺机设备有限公司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常州市武进恒业化工有限公司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水环境,地下水,土壤污染监管</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常州市源恩合成材料有限公司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常州市神猴焊丝有限公司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常州市科丰电动车配件厂</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常州市鑫炜金属热处理有限公司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常州格贝尔合金有限公司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大气环境</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江苏兰陵高分子材料有限公司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大气环境</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江苏天琦岩棉有限公司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大气环境</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江苏横山南方水泥有限公司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大气环境</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江苏欧贸化工有限公司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大气环境,土壤污染监管</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江苏海耀化工有限公司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江苏源泉红光环保科技有限公司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水环境,土壤污染监管</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江苏绿联环境科技有限公司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常州鱼跃金属制品有限公司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常州亚太热电有限公司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大气环境,环境风险管控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常州森腾新材料有限公司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常州永盈环保科技有限公司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常州永葆绿源环保服务有限公司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常州永葆绿能环境有限公司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江苏永葆环保科技股份有限公司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地下水,土壤污染监管,环境风险管控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江苏江南创佳型材有限公司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水环境,土壤污染监管,环境风险管控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江苏江南精密金属材料有限公司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大气环境,环境风险管控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横山桥镇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江苏江南铁合金有限公司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大气环境,环境风险管控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常州三立灯饰有限公司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水环境</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常州东方横林水处理有限公司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水环境</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常州博安和达电器有限公司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水环境</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常州夏青科技有限公司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常州巨腾建材有限公司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常州市佳辰油剂制品有限公司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常州市凤翔模板有限公司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常州市宇鹰新材料科技有限公司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常州市常能导热油有限公司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常州市新淳五金有限公司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水环境</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常州市武进区横林共庆海绵厂</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常州市润利铝合金型材有限公司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常州市维意乐生装饰材料有限公司（崔西路厂区）</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大气环境</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常州市蓉胜铝氧化有限公司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水环境,土壤污染监管</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常州新仁黎纺织器材有限公司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常州杨歧铝氧化有限公司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常州玥辉环保科技发展有限公司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常州翠绿纺织辅料有限公司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常州鑫德源恒耐火板装饰材料股份有限公司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大气环境</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常州市凯迪电器股份有限公司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常州市天展钢管有限公司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常州市明宇钢管有限公司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常州市浩祥线路板有限公司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常州市盛翔智能科技有限公司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常州市荣辰箱包有限公司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常州市诘航电器有限公司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常州市贝美家居科技有限公司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常州市轰达钢管有限公司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常州新湖印染有限公司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常州市伟佳彩色涂装有限公司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常州市双进电子有限公司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水环境,土壤污染监管,环境风险管控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常州市夏家有色金属着色有限公司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常州市盛帆容器再生利用有限公司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常州市葑岸电镀有限公司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水环境,地下水,土壤污染监管,环境风险管控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常州鸿丽电镀有限公司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水环境,地下水,土壤污染监管,环境风险管控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常州鼎华新材料科技有限公司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水环境,土壤污染监管,环境风险管控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江苏协和电子股份有限公司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水环境,土壤污染监管,环境风险管控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江苏夏博士环境科技股份有限公司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土壤污染监管,环境风险管控</w:t>
            </w:r>
            <w:r/>
          </w:p>
        </w:tc>
      </w:tr>
      <w:tr>
        <w:trPr>
          <w:trHeight w:val="31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江苏朋和新能源有限公司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大气环境</w:t>
            </w:r>
            <w:r/>
          </w:p>
        </w:tc>
      </w:tr>
      <w:tr>
        <w:trPr>
          <w:trHeight w:val="326"/>
        </w:trPr>
        <w:tc>
          <w:tcPr>
            <w:shd w:val="clear" w:color="auto" w:fill="auto"/>
            <w:tcBorders>
              <w:top w:val="single" w:color="000000" w:sz="4" w:space="0"/>
              <w:left w:val="single" w:color="000000" w:sz="4" w:space="0"/>
              <w:bottom w:val="single" w:color="000000" w:sz="4" w:space="0"/>
              <w:right w:val="single" w:color="000000" w:sz="4" w:space="0"/>
            </w:tcBorders>
            <w:tcW w:w="7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横林镇</w:t>
            </w:r>
            <w:r/>
          </w:p>
        </w:tc>
        <w:tc>
          <w:tcPr>
            <w:shd w:val="clear" w:color="auto" w:fill="auto"/>
            <w:tcBorders>
              <w:top w:val="single" w:color="000000" w:sz="4" w:space="0"/>
              <w:left w:val="single" w:color="000000" w:sz="4" w:space="0"/>
              <w:bottom w:val="single" w:color="000000" w:sz="4" w:space="0"/>
              <w:right w:val="single" w:color="000000" w:sz="4" w:space="0"/>
            </w:tcBorders>
            <w:tcW w:w="368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百菲萨环保科技（江苏）有限公司</w:t>
            </w:r>
            <w:r/>
          </w:p>
        </w:tc>
        <w:tc>
          <w:tcPr>
            <w:shd w:val="clear" w:color="auto" w:fill="auto"/>
            <w:tcBorders>
              <w:top w:val="single" w:color="000000" w:sz="4" w:space="0"/>
              <w:left w:val="single" w:color="000000" w:sz="4" w:space="0"/>
              <w:bottom w:val="single" w:color="000000" w:sz="4" w:space="0"/>
              <w:right w:val="single" w:color="000000" w:sz="4" w:space="0"/>
            </w:tcBorders>
            <w:tcW w:w="27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大气环境,土壤污染监管,环境风险管控</w:t>
            </w:r>
            <w:r/>
          </w:p>
        </w:tc>
      </w:tr>
    </w:tbl>
    <w:p>
      <w:pPr>
        <w:pStyle w:val="1036"/>
        <w:rPr>
          <w:rFonts w:hint="default"/>
          <w:highlight w:val="none"/>
          <w:lang w:val="en-US" w:eastAsia="zh-CN"/>
        </w:rPr>
      </w:pPr>
      <w:r>
        <w:rPr>
          <w:rFonts w:hint="default"/>
          <w:highlight w:val="none"/>
          <w:lang w:val="en-US" w:eastAsia="zh-CN"/>
        </w:rPr>
      </w:r>
      <w:r/>
    </w:p>
    <w:p>
      <w:pPr>
        <w:keepLines w:val="0"/>
        <w:keepNext w:val="0"/>
        <w:pageBreakBefore w:val="0"/>
        <w:spacing w:line="560" w:lineRule="exact"/>
        <w:widowControl w:val="off"/>
        <w:rPr>
          <w:rFonts w:hint="eastAsia" w:ascii="宋体" w:hAnsi="宋体" w:eastAsia="宋体" w:cs="宋体"/>
          <w:b/>
          <w:bCs/>
          <w:color w:val="auto"/>
          <w:sz w:val="24"/>
          <w:szCs w:val="24"/>
          <w:highlight w:val="none"/>
          <w:u w:val="none"/>
          <w:lang w:val="en-US" w:eastAsia="zh-CN"/>
        </w:rPr>
        <w:outlineLvl w:val="9"/>
      </w:pPr>
      <w:r>
        <w:rPr>
          <w:rFonts w:hint="eastAsia" w:ascii="宋体" w:hAnsi="宋体" w:eastAsia="宋体" w:cs="宋体"/>
          <w:b/>
          <w:bCs/>
          <w:color w:val="auto"/>
          <w:sz w:val="24"/>
          <w:szCs w:val="24"/>
          <w:highlight w:val="none"/>
          <w:u w:val="none"/>
          <w:lang w:val="en-US" w:eastAsia="zh-CN"/>
        </w:rPr>
        <w:t xml:space="preserve">采购包3：重点污染源双随机监测和监督性监测（潞城街道+丁堰街道+戚墅堰街道+遥观镇）</w:t>
      </w:r>
      <w:r/>
    </w:p>
    <w:tbl>
      <w:tblPr>
        <w:tblStyle w:val="994"/>
        <w:tblW w:w="8422"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3"/>
        <w:gridCol w:w="1209"/>
        <w:gridCol w:w="3698"/>
        <w:gridCol w:w="2762"/>
      </w:tblGrid>
      <w:tr>
        <w:trPr>
          <w:trHeight w:val="411"/>
        </w:trPr>
        <w:tc>
          <w:tcPr>
            <w:shd w:val="clear" w:color="auto" w:fill="ffffff"/>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keepLines w:val="0"/>
              <w:keepNext w:val="0"/>
              <w:widowControl/>
              <w:rPr>
                <w:rFonts w:hint="eastAsia" w:ascii="宋体" w:hAnsi="宋体" w:eastAsia="宋体" w:cs="宋体"/>
                <w:i w:val="0"/>
                <w:iCs w:val="0"/>
                <w:color w:val="333333"/>
                <w:sz w:val="24"/>
                <w:szCs w:val="24"/>
                <w:highlight w:val="none"/>
                <w:u w:val="none"/>
              </w:rPr>
              <w:suppressLineNumbers w:val="0"/>
            </w:pPr>
            <w:r>
              <w:rPr>
                <w:rFonts w:hint="eastAsia" w:ascii="宋体" w:hAnsi="宋体" w:eastAsia="宋体" w:cs="宋体"/>
                <w:i w:val="0"/>
                <w:iCs w:val="0"/>
                <w:color w:val="333333"/>
                <w:sz w:val="24"/>
                <w:szCs w:val="24"/>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jc w:val="center"/>
              <w:keepLines w:val="0"/>
              <w:keepNext w:val="0"/>
              <w:widowControl/>
              <w:rPr>
                <w:rFonts w:hint="eastAsia" w:ascii="宋体" w:hAnsi="宋体" w:eastAsia="宋体" w:cs="宋体"/>
                <w:i w:val="0"/>
                <w:iCs w:val="0"/>
                <w:color w:val="333333"/>
                <w:sz w:val="24"/>
                <w:szCs w:val="24"/>
                <w:highlight w:val="none"/>
                <w:u w:val="none"/>
              </w:rPr>
              <w:suppressLineNumbers w:val="0"/>
            </w:pPr>
            <w:r>
              <w:rPr>
                <w:rFonts w:hint="eastAsia" w:ascii="宋体" w:hAnsi="宋体" w:eastAsia="宋体" w:cs="宋体"/>
                <w:i w:val="0"/>
                <w:iCs w:val="0"/>
                <w:color w:val="333333"/>
                <w:sz w:val="24"/>
                <w:szCs w:val="24"/>
                <w:highlight w:val="none"/>
                <w:u w:val="none"/>
                <w:lang w:val="en-US" w:eastAsia="zh-CN" w:bidi="ar"/>
              </w:rPr>
              <w:t xml:space="preserve">乡镇</w:t>
            </w:r>
            <w:r/>
          </w:p>
        </w:tc>
        <w:tc>
          <w:tcPr>
            <w:shd w:val="clear" w:color="auto" w:fill="ffffff"/>
            <w:tcBorders>
              <w:top w:val="single" w:color="000000" w:sz="4" w:space="0"/>
              <w:left w:val="single" w:color="000000" w:sz="4" w:space="0"/>
              <w:bottom w:val="single" w:color="000000" w:sz="4" w:space="0"/>
              <w:right w:val="single" w:color="000000" w:sz="4" w:space="0"/>
            </w:tcBorders>
            <w:tcW w:w="3698" w:type="dxa"/>
            <w:vAlign w:val="center"/>
            <w:textDirection w:val="lrTb"/>
            <w:noWrap w:val="false"/>
          </w:tcPr>
          <w:p>
            <w:pPr>
              <w:jc w:val="center"/>
              <w:keepLines w:val="0"/>
              <w:keepNext w:val="0"/>
              <w:widowControl/>
              <w:rPr>
                <w:rFonts w:hint="eastAsia" w:ascii="宋体" w:hAnsi="宋体" w:eastAsia="宋体" w:cs="宋体"/>
                <w:i w:val="0"/>
                <w:iCs w:val="0"/>
                <w:color w:val="333333"/>
                <w:sz w:val="24"/>
                <w:szCs w:val="24"/>
                <w:highlight w:val="none"/>
                <w:u w:val="none"/>
              </w:rPr>
              <w:suppressLineNumbers w:val="0"/>
            </w:pPr>
            <w:r>
              <w:rPr>
                <w:rFonts w:hint="eastAsia" w:ascii="宋体" w:hAnsi="宋体" w:eastAsia="宋体" w:cs="宋体"/>
                <w:i w:val="0"/>
                <w:iCs w:val="0"/>
                <w:color w:val="333333"/>
                <w:sz w:val="24"/>
                <w:szCs w:val="24"/>
                <w:highlight w:val="none"/>
                <w:u w:val="none"/>
                <w:lang w:val="en-US" w:eastAsia="zh-CN" w:bidi="ar"/>
              </w:rPr>
              <w:t xml:space="preserve">企业名称</w:t>
            </w:r>
            <w:r/>
          </w:p>
        </w:tc>
        <w:tc>
          <w:tcPr>
            <w:shd w:val="clear" w:color="auto" w:fill="ffffff"/>
            <w:tcBorders>
              <w:top w:val="single" w:color="000000" w:sz="4" w:space="0"/>
              <w:left w:val="single" w:color="000000" w:sz="4" w:space="0"/>
              <w:bottom w:val="single" w:color="000000" w:sz="4" w:space="0"/>
              <w:right w:val="single" w:color="000000" w:sz="4" w:space="0"/>
            </w:tcBorders>
            <w:tcW w:w="2762" w:type="dxa"/>
            <w:vAlign w:val="center"/>
            <w:textDirection w:val="lrTb"/>
            <w:noWrap w:val="false"/>
          </w:tcPr>
          <w:p>
            <w:pPr>
              <w:jc w:val="center"/>
              <w:keepLines w:val="0"/>
              <w:keepNext w:val="0"/>
              <w:widowControl/>
              <w:rPr>
                <w:rFonts w:hint="eastAsia" w:ascii="宋体" w:hAnsi="宋体" w:eastAsia="宋体" w:cs="宋体"/>
                <w:i w:val="0"/>
                <w:iCs w:val="0"/>
                <w:color w:val="333333"/>
                <w:sz w:val="24"/>
                <w:szCs w:val="24"/>
                <w:highlight w:val="none"/>
                <w:u w:val="none"/>
              </w:rPr>
              <w:suppressLineNumbers w:val="0"/>
            </w:pPr>
            <w:r>
              <w:rPr>
                <w:rFonts w:hint="eastAsia" w:ascii="宋体" w:hAnsi="宋体" w:eastAsia="宋体" w:cs="宋体"/>
                <w:i w:val="0"/>
                <w:iCs w:val="0"/>
                <w:color w:val="333333"/>
                <w:sz w:val="24"/>
                <w:szCs w:val="24"/>
                <w:highlight w:val="none"/>
                <w:u w:val="none"/>
                <w:lang w:val="en-US" w:eastAsia="zh-CN" w:bidi="ar"/>
              </w:rPr>
              <w:t xml:space="preserve">重点单位类别</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戚墅堰街道</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常州市城市排水有限公司戚墅堰污水处理厂</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水环境</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戚墅堰街道</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常州市第七人民医院</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水环境</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戚墅堰街道</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江苏华电戚墅堰发电有限公司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大气环境</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戚墅堰街道</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江苏华电戚墅堰热电有限公司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大气环境</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戚墅堰街道</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常州市环境卫生管理中心</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土壤污染监管,环境风险管控</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潞城街道</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常州市汇丰船舶附件制造有限公司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大气环境</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潞城街道</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常州市鑫群金属表面处理厂</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水环境,地下水,土壤污染监管</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潞城街道</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常州长登焊材股份有限公司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潞城街道</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中车戚墅堰机车车辆工艺研究所股份有限公司（总部）</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大气环境,土壤污染监管</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潞城街道</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常州星源新能源材料有限公司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大气环境,环境风险管控</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丁堰街道</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常州华昊化工有限公司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丁堰街道</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常州市兴诚高分子材料有限公司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丁堰街道</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常州市戚墅堰精细化工有限公司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大气环境,土壤污染监管</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丁堰街道</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常州港华燃气有限公司（东部应急锅炉）</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大气环境</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丁堰街道</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江苏常宝钢管股份有限公司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大气环境</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丁堰街道</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常州祥明智能动力股份有限公司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丁堰街道</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中车戚墅堰机车有限公司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水环境,环境风险管控</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丁堰街道</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常州常宝精特钢管有限公司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水环境,大气环境,土壤污染监管,环境风险管控</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哈焊所华通(常州)焊业股份有限公司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常州东方前杨污水综合处理有限公司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水环境,地下水,土壤污染监管</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常州东方环保产业发展有限公司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水环境</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常州中发炼铁有限公司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大气环境,土壤污染监管</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常州亿龙涂装厂</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常州依兰都染整有限公司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水环境</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常州凯隆再生资源有限公司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常州华宇印染有限公司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水环境</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常州市一马机械有限公司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常州市前杨装饰品有限公司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水环境,土壤污染监管</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常州市勤新化工有限公司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常州市年华牧业有限公司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水环境</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常州市武进洛阳新型保温材料厂</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大气环境,土壤污染监管</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常州市武进遥观电镀有限公司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常州市立新石墨有限公司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常州新华昌国际集装箱有限公司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大气环境</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常州睿典材料科技有限公司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常州鸿勋纺织有限公司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江苏杉元科技有限公司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江苏长海复合材料股份有限公司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大气环境</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常州华亚铝业有限公司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常州市丁成型钢有限公司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常州市伟盛管业有限公司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常州市劲帆精轧管厂</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常州市宏仁精密制管有限公司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常州市诚鑫金属制品有限公司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常州市闳晖科技发展股份有限公司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常州惠明能源有限公司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大气环境,环境风险管控</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常州新诺金属科技有限公司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常州首创管业有限公司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摩泰金属科技（常州）有限公司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江苏天成钢管有限公司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江苏宏亿精工股份有限公司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江苏盛飞汽车零部件有限公司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江苏迪欧姆股份有限公司（南厂区）</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中天钢铁集团有限公司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水环境,地下水,大气环境,土壤污染监管,噪声,环境风险管控</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今创集团股份有限公司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大气环境,环境风险管控</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光大环保能源（常州）有限公司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地下水,大气环境,土壤污染监管,环境风险管控</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常州市佳宁环保科技有限公司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土壤污染监管,环境风险管控</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常州市同瑞精密制管有限公司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土壤污染监管,环境风险管控</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常州市宏汇合机械制造有限公司（洪庄工业园厂区）</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环境风险管控</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常州市洪庄电镀有限公司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水环境,地下水,土壤污染监管,环境风险管控</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常州市运河焊材有限公司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土壤污染监管,环境风险管控</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遥观镇</w:t>
            </w:r>
            <w:r/>
          </w:p>
        </w:tc>
        <w:tc>
          <w:tcPr>
            <w:shd w:val="clear" w:color="auto" w:fill="auto"/>
            <w:tcBorders>
              <w:top w:val="single" w:color="000000" w:sz="4" w:space="0"/>
              <w:left w:val="single" w:color="000000" w:sz="4" w:space="0"/>
              <w:bottom w:val="single" w:color="000000" w:sz="4" w:space="0"/>
              <w:right w:val="single" w:color="000000" w:sz="4" w:space="0"/>
            </w:tcBorders>
            <w:tcW w:w="3698"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江苏龙东新材料有限公司</w:t>
            </w:r>
            <w:r/>
          </w:p>
        </w:tc>
        <w:tc>
          <w:tcPr>
            <w:shd w:val="clear" w:color="auto" w:fill="auto"/>
            <w:tcBorders>
              <w:top w:val="single" w:color="000000" w:sz="4" w:space="0"/>
              <w:left w:val="single" w:color="000000" w:sz="4" w:space="0"/>
              <w:bottom w:val="single" w:color="000000" w:sz="4" w:space="0"/>
              <w:right w:val="single" w:color="000000" w:sz="4" w:space="0"/>
            </w:tcBorders>
            <w:tcW w:w="276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土壤污染监管,环境风险管控</w:t>
            </w:r>
            <w:r/>
          </w:p>
        </w:tc>
      </w:tr>
    </w:tbl>
    <w:p>
      <w:pPr>
        <w:pStyle w:val="1036"/>
        <w:numPr>
          <w:ilvl w:val="0"/>
          <w:numId w:val="0"/>
        </w:num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1036"/>
        <w:numPr>
          <w:ilvl w:val="0"/>
          <w:numId w:val="0"/>
        </w:num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1036"/>
        <w:numPr>
          <w:ilvl w:val="0"/>
          <w:numId w:val="0"/>
        </w:numPr>
        <w:rPr>
          <w:rFonts w:hint="eastAsia" w:hAnsi="宋体" w:cs="宋体"/>
          <w:b/>
          <w:color w:val="auto"/>
          <w:sz w:val="24"/>
          <w:szCs w:val="24"/>
          <w:highlight w:val="none"/>
          <w:lang w:val="en-US" w:eastAsia="zh-CN"/>
        </w:rPr>
      </w:pPr>
      <w:r>
        <w:rPr>
          <w:rFonts w:hint="eastAsia" w:hAnsi="宋体" w:cs="宋体"/>
          <w:b/>
          <w:color w:val="auto"/>
          <w:sz w:val="24"/>
          <w:szCs w:val="24"/>
          <w:highlight w:val="none"/>
          <w:lang w:val="en-US" w:eastAsia="zh-CN"/>
        </w:rPr>
        <w:t xml:space="preserve">采购包4：大气、地表水、农村水体、农污设施、噪声等环境监测</w:t>
      </w:r>
      <w:r/>
    </w:p>
    <w:tbl>
      <w:tblPr>
        <w:tblStyle w:val="99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06"/>
        <w:gridCol w:w="1331"/>
        <w:gridCol w:w="978"/>
        <w:gridCol w:w="3370"/>
        <w:gridCol w:w="2034"/>
      </w:tblGrid>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监测项目</w:t>
            </w:r>
            <w:r/>
          </w:p>
        </w:tc>
        <w:tc>
          <w:tcPr>
            <w:shd w:val="clear" w:color="auto" w:fill="ffffff"/>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点位数量</w:t>
            </w:r>
            <w:r/>
          </w:p>
        </w:tc>
        <w:tc>
          <w:tcPr>
            <w:shd w:val="clear" w:color="auto" w:fill="ffffff"/>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监测因子</w:t>
            </w:r>
            <w:r/>
          </w:p>
        </w:tc>
        <w:tc>
          <w:tcPr>
            <w:shd w:val="clear" w:color="auto" w:fill="ffffff"/>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监测频次</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省控以下断面</w:t>
            </w:r>
            <w:r/>
          </w:p>
        </w:tc>
        <w:tc>
          <w:tcPr>
            <w:shd w:val="clear" w:color="auto" w:fill="ffffff"/>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3个</w:t>
            </w:r>
            <w:r/>
          </w:p>
        </w:tc>
        <w:tc>
          <w:tcPr>
            <w:shd w:val="clear" w:color="auto" w:fill="ffffff"/>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GB 3838-2002表1中24项，电导率、流向、流量、浊度</w:t>
            </w:r>
            <w:r/>
          </w:p>
        </w:tc>
        <w:tc>
          <w:tcPr>
            <w:shd w:val="clear" w:color="auto" w:fill="ffffff"/>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每月1次</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太湖上游区支浜专项监测</w:t>
            </w:r>
            <w:r/>
          </w:p>
        </w:tc>
        <w:tc>
          <w:tcPr>
            <w:shd w:val="clear" w:color="auto" w:fill="ffffff"/>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4个</w:t>
            </w:r>
            <w:r/>
          </w:p>
        </w:tc>
        <w:tc>
          <w:tcPr>
            <w:shd w:val="clear" w:color="auto" w:fill="ffffff"/>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水温、pH值、溶解氧、氨氮、总氮、总磷、高锰酸盐指数、流向</w:t>
            </w:r>
            <w:r/>
          </w:p>
        </w:tc>
        <w:tc>
          <w:tcPr>
            <w:shd w:val="clear" w:color="auto" w:fill="ffffff"/>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第一和第四季度各1次，6、7、8、9每月测1次，共6次</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农村生活污水处理设施出水水质自行监测</w:t>
            </w:r>
            <w:r/>
          </w:p>
        </w:tc>
        <w:tc>
          <w:tcPr>
            <w:shd w:val="clear" w:color="auto" w:fill="ffffff"/>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11个</w:t>
            </w:r>
            <w:r/>
          </w:p>
        </w:tc>
        <w:tc>
          <w:tcPr>
            <w:shd w:val="clear" w:color="auto" w:fill="ffffff"/>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水温、pH值、化学需氧量、氨氮、总磷、总氮、悬浮物、五日生化需氧量、粪大肠菌群、动植物油类</w:t>
            </w:r>
            <w:r/>
          </w:p>
        </w:tc>
        <w:tc>
          <w:tcPr>
            <w:shd w:val="clear" w:color="auto" w:fill="ffffff"/>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上半年和下半年分别各测1次，共计每个点位2次。</w:t>
            </w:r>
            <w:r/>
          </w:p>
        </w:tc>
      </w:tr>
      <w:tr>
        <w:trPr>
          <w:trHeight w:val="768"/>
        </w:trPr>
        <w:tc>
          <w:tcPr>
            <w:shd w:val="clear" w:color="auto" w:fill="ffffff"/>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农村黑臭水体水质监测</w:t>
            </w:r>
            <w:r/>
          </w:p>
        </w:tc>
        <w:tc>
          <w:tcPr>
            <w:shd w:val="clear" w:color="auto" w:fill="ffffff"/>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2个</w:t>
            </w:r>
            <w:r/>
          </w:p>
        </w:tc>
        <w:tc>
          <w:tcPr>
            <w:shd w:val="clear" w:color="auto" w:fill="ffffff"/>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透明度、溶解氧和氨氮</w:t>
            </w:r>
            <w:r/>
          </w:p>
        </w:tc>
        <w:tc>
          <w:tcPr>
            <w:shd w:val="clear" w:color="auto" w:fill="ffffff"/>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每年1次</w:t>
            </w:r>
            <w:r/>
          </w:p>
        </w:tc>
      </w:tr>
      <w:tr>
        <w:trPr>
          <w:trHeight w:val="758"/>
        </w:trPr>
        <w:tc>
          <w:tcPr>
            <w:shd w:val="clear" w:color="auto" w:fill="ffffff"/>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81" w:type="pct"/>
            <w:vAlign w:val="center"/>
            <w:vMerge w:val="restart"/>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声环境质量监测</w:t>
            </w:r>
            <w:r/>
          </w:p>
        </w:tc>
        <w:tc>
          <w:tcPr>
            <w:shd w:val="clear" w:color="auto" w:fill="ffffff"/>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18个区域噪声</w:t>
            </w:r>
            <w:r/>
          </w:p>
        </w:tc>
        <w:tc>
          <w:tcPr>
            <w:shd w:val="clear" w:color="auto" w:fill="ffffff"/>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昼间噪声</w:t>
            </w:r>
            <w:r/>
          </w:p>
        </w:tc>
        <w:tc>
          <w:tcPr>
            <w:shd w:val="clear" w:color="auto" w:fill="ffffff"/>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每年1次</w:t>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81" w:type="pct"/>
            <w:vAlign w:val="center"/>
            <w:vMerge w:val="continue"/>
            <w:textDirection w:val="lrTb"/>
            <w:noWrap w:val="false"/>
          </w:tcPr>
          <w:p>
            <w:pPr>
              <w:jc w:val="center"/>
              <w:rPr>
                <w:rFonts w:hint="eastAsia" w:ascii="宋体" w:hAnsi="宋体" w:eastAsia="宋体" w:cs="宋体"/>
                <w:b w:val="0"/>
                <w:i w:val="0"/>
                <w:iCs w:val="0"/>
                <w:color w:val="000000"/>
                <w:sz w:val="24"/>
                <w:szCs w:val="24"/>
                <w:highlight w:val="none"/>
                <w:u w:val="none"/>
              </w:rPr>
            </w:pPr>
            <w:r>
              <w:rPr>
                <w:rFonts w:hint="eastAsia" w:ascii="宋体" w:hAnsi="宋体" w:eastAsia="宋体" w:cs="宋体"/>
                <w:b w:val="0"/>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5个交通噪声</w:t>
            </w:r>
            <w:r/>
          </w:p>
        </w:tc>
        <w:tc>
          <w:tcPr>
            <w:shd w:val="clear" w:color="auto" w:fill="ffffff"/>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昼间噪声</w:t>
            </w:r>
            <w:r/>
          </w:p>
        </w:tc>
        <w:tc>
          <w:tcPr>
            <w:shd w:val="clear" w:color="auto" w:fill="ffffff"/>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每年1次</w:t>
            </w:r>
            <w:r/>
          </w:p>
        </w:tc>
      </w:tr>
      <w:tr>
        <w:trPr>
          <w:trHeight w:val="983"/>
        </w:trPr>
        <w:tc>
          <w:tcPr>
            <w:shd w:val="clear" w:color="auto" w:fill="ffffff"/>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农村中小微水体抽样监测调查</w:t>
            </w:r>
            <w:r/>
          </w:p>
        </w:tc>
        <w:tc>
          <w:tcPr>
            <w:shd w:val="clear" w:color="auto" w:fill="ffffff"/>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1个点</w:t>
            </w:r>
            <w:r/>
          </w:p>
        </w:tc>
        <w:tc>
          <w:tcPr>
            <w:shd w:val="clear" w:color="auto" w:fill="ffffff"/>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透明度、水深、溶解氧、高锰酸盐指数、氨氮、总磷、总氮</w:t>
            </w:r>
            <w:r/>
          </w:p>
        </w:tc>
        <w:tc>
          <w:tcPr>
            <w:shd w:val="clear" w:color="auto" w:fill="ffffff"/>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每年2次</w:t>
            </w:r>
            <w:r/>
          </w:p>
        </w:tc>
      </w:tr>
      <w:tr>
        <w:trPr>
          <w:trHeight w:val="915"/>
        </w:trPr>
        <w:tc>
          <w:tcPr>
            <w:shd w:val="clear" w:color="auto" w:fill="ffffff"/>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养殖尾水</w:t>
            </w:r>
            <w:r/>
          </w:p>
        </w:tc>
        <w:tc>
          <w:tcPr>
            <w:shd w:val="clear" w:color="auto" w:fill="ffffff"/>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5个点</w:t>
            </w:r>
            <w:r/>
          </w:p>
        </w:tc>
        <w:tc>
          <w:tcPr>
            <w:shd w:val="clear" w:color="auto" w:fill="ffffff"/>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高锰酸盐指数、总磷、总氮、悬浮物、pH值</w:t>
            </w:r>
            <w:r/>
          </w:p>
        </w:tc>
        <w:tc>
          <w:tcPr>
            <w:shd w:val="clear" w:color="auto" w:fill="ffffff"/>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每月1次</w:t>
            </w:r>
            <w:r/>
          </w:p>
        </w:tc>
      </w:tr>
      <w:tr>
        <w:trPr>
          <w:trHeight w:val="621"/>
        </w:trPr>
        <w:tc>
          <w:tcPr>
            <w:shd w:val="clear" w:color="auto" w:fill="ffffff"/>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国考、省考断面预警</w:t>
            </w:r>
            <w:r/>
          </w:p>
        </w:tc>
        <w:tc>
          <w:tcPr>
            <w:shd w:val="clear" w:color="auto" w:fill="ffffff"/>
            <w:tcBorders>
              <w:top w:val="single" w:color="000000" w:sz="4" w:space="0"/>
              <w:left w:val="single" w:color="000000" w:sz="4" w:space="0"/>
              <w:bottom w:val="single" w:color="000000" w:sz="4" w:space="0"/>
              <w:right w:val="single" w:color="000000" w:sz="4" w:space="0"/>
            </w:tcBorders>
            <w:tcW w:w="574"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2个点</w:t>
            </w:r>
            <w:r/>
          </w:p>
        </w:tc>
        <w:tc>
          <w:tcPr>
            <w:shd w:val="clear" w:color="auto" w:fill="ffffff"/>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高锰酸盐指数、氨氮、总磷、总氮</w:t>
            </w:r>
            <w:r/>
          </w:p>
        </w:tc>
        <w:tc>
          <w:tcPr>
            <w:shd w:val="clear" w:color="auto" w:fill="ffffff"/>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jc w:val="center"/>
              <w:keepLines w:val="0"/>
              <w:keepNext w:val="0"/>
              <w:widowControl/>
              <w:rPr>
                <w:rFonts w:hint="eastAsia" w:ascii="宋体" w:hAnsi="宋体" w:eastAsia="宋体" w:cs="宋体"/>
                <w:b w:val="0"/>
                <w:i w:val="0"/>
                <w:iCs w:val="0"/>
                <w:color w:val="000000"/>
                <w:sz w:val="24"/>
                <w:szCs w:val="24"/>
                <w:highlight w:val="none"/>
                <w:u w:val="none"/>
              </w:rPr>
              <w:suppressLineNumbers w:val="0"/>
            </w:pPr>
            <w:r>
              <w:rPr>
                <w:rFonts w:hint="eastAsia" w:ascii="宋体" w:hAnsi="宋体" w:eastAsia="宋体" w:cs="宋体"/>
                <w:b w:val="0"/>
                <w:i w:val="0"/>
                <w:iCs w:val="0"/>
                <w:color w:val="000000"/>
                <w:sz w:val="24"/>
                <w:szCs w:val="24"/>
                <w:highlight w:val="none"/>
                <w:u w:val="none"/>
                <w:lang w:val="en-US" w:eastAsia="zh-CN" w:bidi="ar"/>
              </w:rPr>
              <w:t xml:space="preserve">每月1次</w:t>
            </w:r>
            <w:r/>
          </w:p>
        </w:tc>
      </w:tr>
    </w:tbl>
    <w:p>
      <w:pPr>
        <w:keepLines w:val="0"/>
        <w:keepNext w:val="0"/>
        <w:pageBreakBefore w:val="0"/>
        <w:spacing w:line="560" w:lineRule="exact"/>
        <w:widowControl w:val="off"/>
        <w:rPr>
          <w:rFonts w:hint="eastAsia" w:ascii="宋体" w:hAnsi="宋体" w:eastAsia="宋体" w:cs="宋体"/>
          <w:b/>
          <w:bCs/>
          <w:color w:val="auto"/>
          <w:sz w:val="24"/>
          <w:szCs w:val="24"/>
          <w:highlight w:val="none"/>
          <w:u w:val="none"/>
          <w:lang w:val="en-US" w:eastAsia="zh-CN"/>
        </w:rPr>
        <w:outlineLvl w:val="9"/>
      </w:pPr>
      <w:r>
        <w:rPr>
          <w:rFonts w:hint="eastAsia" w:ascii="宋体" w:hAnsi="宋体" w:eastAsia="宋体" w:cs="宋体"/>
          <w:b/>
          <w:bCs/>
          <w:color w:val="auto"/>
          <w:sz w:val="24"/>
          <w:szCs w:val="24"/>
          <w:highlight w:val="none"/>
          <w:u w:val="none"/>
          <w:lang w:val="en-US" w:eastAsia="zh-CN"/>
        </w:rPr>
        <w:t xml:space="preserve">采购包5：区级地表水监测</w:t>
      </w:r>
      <w:r/>
    </w:p>
    <w:tbl>
      <w:tblPr>
        <w:tblStyle w:val="994"/>
        <w:tblW w:w="84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2"/>
        <w:gridCol w:w="1627"/>
        <w:gridCol w:w="1433"/>
        <w:gridCol w:w="2981"/>
        <w:gridCol w:w="1614"/>
      </w:tblGrid>
      <w:tr>
        <w:trPr>
          <w:jc w:val="center"/>
          <w:trHeight w:val="1113"/>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监测项目</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点位数量</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监测因子</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监测频次</w:t>
            </w:r>
            <w:r/>
          </w:p>
        </w:tc>
      </w:tr>
      <w:tr>
        <w:trPr>
          <w:jc w:val="center"/>
          <w:trHeight w:val="749"/>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区级地表水监测</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氨氮、总磷（部分点位增加高锰酸盐指数）</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每周1次</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区级地表水监测</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45个</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氨氮、总磷</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每月1次</w:t>
            </w:r>
            <w:r/>
          </w:p>
        </w:tc>
      </w:tr>
      <w:tr>
        <w:trPr>
          <w:jc w:val="center"/>
          <w:trHeight w:val="509"/>
        </w:trPr>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区级地表水加密监测</w:t>
            </w:r>
            <w:r/>
          </w:p>
        </w:tc>
        <w:tc>
          <w:tcPr>
            <w:shd w:val="clear" w:color="auto" w:fill="auto"/>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根据实际监测情况加测</w:t>
            </w:r>
            <w:r/>
          </w:p>
        </w:tc>
        <w:tc>
          <w:tcPr>
            <w:shd w:val="clear" w:color="auto" w:fill="auto"/>
            <w:tcBorders>
              <w:top w:val="single" w:color="000000" w:sz="4" w:space="0"/>
              <w:left w:val="single" w:color="000000" w:sz="4" w:space="0"/>
              <w:bottom w:val="single" w:color="000000" w:sz="4" w:space="0"/>
              <w:right w:val="single" w:color="000000" w:sz="4" w:space="0"/>
            </w:tcBorders>
            <w:tcW w:w="298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根据水质情况，对特殊因子加测</w:t>
            </w:r>
            <w:r/>
          </w:p>
        </w:tc>
        <w:tc>
          <w:tcPr>
            <w:shd w:val="clear" w:color="auto" w:fill="auto"/>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不定期</w:t>
            </w:r>
            <w:r/>
          </w:p>
        </w:tc>
      </w:tr>
    </w:tbl>
    <w:p>
      <w:pPr>
        <w:keepLines w:val="0"/>
        <w:keepNext w:val="0"/>
        <w:pageBreakBefore w:val="0"/>
        <w:spacing w:line="560" w:lineRule="exact"/>
        <w:widowControl w:val="off"/>
        <w:rPr>
          <w:rFonts w:hint="default" w:ascii="宋体" w:hAnsi="宋体" w:eastAsia="宋体" w:cs="宋体"/>
          <w:b/>
          <w:bCs/>
          <w:color w:val="auto"/>
          <w:sz w:val="24"/>
          <w:szCs w:val="24"/>
          <w:highlight w:val="none"/>
          <w:u w:val="none"/>
          <w:lang w:val="en-US" w:eastAsia="zh-CN"/>
        </w:rPr>
        <w:outlineLvl w:val="9"/>
      </w:pPr>
      <w:r>
        <w:rPr>
          <w:rFonts w:hint="eastAsia" w:ascii="宋体" w:hAnsi="宋体" w:eastAsia="宋体" w:cs="宋体"/>
          <w:b/>
          <w:bCs/>
          <w:color w:val="auto"/>
          <w:sz w:val="24"/>
          <w:szCs w:val="24"/>
          <w:highlight w:val="none"/>
          <w:u w:val="none"/>
          <w:lang w:val="en-US" w:eastAsia="zh-CN"/>
        </w:rPr>
        <w:t xml:space="preserve">注：各采购包中要求的监测点位及企业为暂估，具体实施内容按照采购人最终要求的为准。</w:t>
      </w:r>
      <w:r/>
    </w:p>
    <w:p>
      <w:pPr>
        <w:pStyle w:val="1036"/>
        <w:numPr>
          <w:ilvl w:val="0"/>
          <w:numId w:val="0"/>
        </w:numP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1036"/>
        <w:rPr>
          <w:rFonts w:hint="default"/>
          <w:highlight w:val="none"/>
          <w:lang w:val="en-US"/>
        </w:rPr>
      </w:pPr>
      <w:r>
        <w:rPr>
          <w:rFonts w:hint="eastAsia" w:hAnsi="宋体" w:cs="宋体"/>
          <w:b/>
          <w:color w:val="auto"/>
          <w:sz w:val="24"/>
          <w:szCs w:val="24"/>
          <w:highlight w:val="none"/>
          <w:lang w:val="en-US" w:eastAsia="zh-CN"/>
        </w:rPr>
        <w:t xml:space="preserve">四、服务要求</w:t>
      </w:r>
      <w:r/>
    </w:p>
    <w:p>
      <w:pPr>
        <w:numPr>
          <w:ilvl w:val="0"/>
          <w:numId w:val="0"/>
        </w:numPr>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（一）工作要求</w:t>
      </w:r>
      <w:r/>
    </w:p>
    <w:p>
      <w:pPr>
        <w:ind w:right="21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1.中标供应商接受业务时应具备涉及的所有监测内容的监测资质，未经采购人同意不得分包。</w:t>
      </w:r>
      <w:r/>
    </w:p>
    <w:p>
      <w:pPr>
        <w:ind w:right="21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2.中标供应商根据采购人委托，严格遵守承诺及时响应服务指令，及时到达现场开展服务。</w:t>
      </w:r>
      <w:r/>
    </w:p>
    <w:p>
      <w:pPr>
        <w:ind w:right="21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中标供应商在规定时间内完成采购清单中项目的监测工作。采样方法按国家和江苏省有关监测技术规范执行，分析方法按现行有效的标准方法执行，实验使用仪器设备必须在合格计量检定有效期内。中标供应商现场监测结束或取样后在规定时间内向采购人提供监测数据和报告等资料。</w:t>
      </w:r>
      <w:r/>
    </w:p>
    <w:p>
      <w:pPr>
        <w:ind w:right="21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4.中标供应商的实验室按照签订合同的内容和要求开展相关工作，监测和分析过程需按环境监测相关技术规范要求进行必要的质量控制，采购人有权对中标供应商的实验室整个检测过程进行现场监督和质控检查。</w:t>
      </w:r>
      <w:r/>
    </w:p>
    <w:p>
      <w:pPr>
        <w:ind w:right="210" w:firstLine="480"/>
        <w:jc w:val="left"/>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为顺利开展应急监测服务，中标供应商应明确专人负责与采购人对接具体应急监测工作，并安排监测人员随时待命，如遇应急监测任务时，必须按照采购人要求随叫随到，如中标供应商发生应急监测推诿事宜，视为合同违约行为，采购人可单方面解除合同。</w:t>
      </w:r>
      <w:r/>
    </w:p>
    <w:p>
      <w:pPr>
        <w:ind w:right="21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6.当中标供应商出现下列情况之一，采购人可以终止合同，并将其列入不合格服务商名单，全部赔偿责任由中标供应商承担，同时采购人将依法追究其单位和个人的法律责任：</w:t>
      </w:r>
      <w:r/>
    </w:p>
    <w:p>
      <w:pPr>
        <w:ind w:right="21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（1）不能按时履行合同的；</w:t>
      </w:r>
      <w:r/>
    </w:p>
    <w:p>
      <w:pPr>
        <w:ind w:right="21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（2）将合同内容部分或全部转给其他实验室的；</w:t>
      </w:r>
      <w:r/>
    </w:p>
    <w:p>
      <w:pPr>
        <w:ind w:right="21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（3）标准样品考核、实样比对、质控样、现场操作考核等2次不合格的或受到2次书面警告的；</w:t>
      </w:r>
      <w:r/>
    </w:p>
    <w:p>
      <w:pPr>
        <w:ind w:right="210" w:firstLine="480"/>
        <w:jc w:val="left"/>
        <w:keepLines w:val="0"/>
        <w:keepNext w:val="0"/>
        <w:pageBreakBefore w:val="0"/>
        <w:spacing w:line="360" w:lineRule="auto"/>
        <w:widowControl w:val="off"/>
        <w:rPr>
          <w:rFonts w:hint="eastAsia"/>
          <w:highlight w:val="none"/>
          <w:lang w:val="en-US" w:eastAsia="zh-CN"/>
        </w:rPr>
      </w:pPr>
      <w:r>
        <w:rPr>
          <w:rFonts w:hint="eastAsia" w:ascii="宋体" w:hAnsi="宋体" w:eastAsia="宋体" w:cs="宋体"/>
          <w:b w:val="0"/>
          <w:bCs/>
          <w:color w:val="auto"/>
          <w:sz w:val="24"/>
          <w:szCs w:val="24"/>
          <w:highlight w:val="none"/>
          <w:lang w:val="en-US" w:eastAsia="zh-CN"/>
        </w:rPr>
        <w:t xml:space="preserve">（4）提供虚假数据的；</w:t>
      </w:r>
      <w:r/>
    </w:p>
    <w:p>
      <w:pPr>
        <w:ind w:right="21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（5）未经同意擅自向外提供合同内容的数据和结果的；</w:t>
      </w:r>
      <w:r/>
    </w:p>
    <w:p>
      <w:pPr>
        <w:ind w:right="21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（6）合同有效期内，被行业主管部门警告或取消资质认定的；</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（7）擅自以采购人的名义承接业务的；</w:t>
      </w:r>
      <w:r/>
    </w:p>
    <w:p>
      <w:pPr>
        <w:ind w:firstLine="480"/>
        <w:keepLines w:val="0"/>
        <w:keepNext w:val="0"/>
        <w:pageBreakBefore w:val="0"/>
        <w:spacing w:line="360" w:lineRule="auto"/>
        <w:rPr>
          <w:rFonts w:hint="eastAsia" w:ascii="宋体" w:hAnsi="宋体" w:eastAsia="宋体" w:cs="宋体"/>
          <w:b w:val="0"/>
          <w:bCs/>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（8）以采购人的名义收受被服务对象礼金、礼品的。</w:t>
      </w:r>
      <w:r/>
    </w:p>
    <w:p>
      <w:pPr>
        <w:ind w:right="210" w:firstLine="480"/>
        <w:jc w:val="left"/>
        <w:keepLines w:val="0"/>
        <w:keepNext w:val="0"/>
        <w:pageBreakBefore w:val="0"/>
        <w:spacing w:line="360" w:lineRule="auto"/>
        <w:widowControl w:val="off"/>
        <w:rPr>
          <w:rFonts w:hint="eastAsia" w:ascii="宋体" w:hAnsi="宋体" w:cs="宋体" w:eastAsiaTheme="minorEastAsia"/>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7.★根据《省生态环境厅关于净化生态环境监测服务市场环境的通知》（苏环办〔2023〕122 号），中标供应商不得参与对应辖区内企业所委托的监测、运维、咨询等服务。如已经接受对应辖区内企业所委托的业务的，须不定期以清单形式向监控分中心报备，在服务期内如有遇到须对报备清单中企业开展的监测任务时中标供应商需回避并报告采购人，由采购人安排无需回避单位对其开展监测。</w:t>
      </w:r>
      <w:r>
        <w:rPr>
          <w:rFonts w:hint="eastAsia"/>
          <w:b/>
          <w:bCs/>
          <w:sz w:val="24"/>
          <w:szCs w:val="24"/>
          <w:highlight w:val="none"/>
          <w:lang w:eastAsia="zh-CN"/>
        </w:rPr>
        <w:t xml:space="preserve">（</w:t>
      </w:r>
      <w:r>
        <w:rPr>
          <w:rFonts w:hint="eastAsia"/>
          <w:b/>
          <w:bCs/>
          <w:sz w:val="24"/>
          <w:szCs w:val="24"/>
          <w:highlight w:val="none"/>
          <w:lang w:val="en-US" w:eastAsia="zh-CN"/>
        </w:rPr>
        <w:t xml:space="preserve">提供承诺函，未提供视为无效响应</w:t>
      </w:r>
      <w:r>
        <w:rPr>
          <w:rFonts w:hint="eastAsia"/>
          <w:b/>
          <w:bCs/>
          <w:sz w:val="24"/>
          <w:szCs w:val="24"/>
          <w:highlight w:val="none"/>
          <w:lang w:eastAsia="zh-CN"/>
        </w:rPr>
        <w:t xml:space="preserve">）</w:t>
      </w:r>
      <w:r/>
    </w:p>
    <w:p>
      <w:pPr>
        <w:ind w:firstLine="490"/>
        <w:jc w:val="left"/>
        <w:spacing w:line="440" w:lineRule="exact"/>
        <w:widowControl/>
        <w:rPr>
          <w:rFonts w:hint="eastAsia" w:ascii="宋体" w:hAnsi="宋体" w:eastAsia="宋体" w:cs="宋体"/>
          <w:b/>
          <w:bCs/>
          <w:color w:val="auto"/>
          <w:spacing w:val="2"/>
          <w:sz w:val="24"/>
          <w:szCs w:val="24"/>
          <w:highlight w:val="none"/>
        </w:rPr>
      </w:pPr>
      <w:r>
        <w:rPr>
          <w:rFonts w:hint="eastAsia" w:ascii="宋体" w:hAnsi="宋体" w:eastAsia="宋体" w:cs="宋体"/>
          <w:b/>
          <w:bCs/>
          <w:color w:val="auto"/>
          <w:spacing w:val="2"/>
          <w:sz w:val="24"/>
          <w:szCs w:val="24"/>
          <w:highlight w:val="none"/>
        </w:rPr>
        <w:t xml:space="preserve">（</w:t>
      </w:r>
      <w:r>
        <w:rPr>
          <w:rFonts w:hint="eastAsia" w:ascii="宋体" w:hAnsi="宋体" w:eastAsia="宋体" w:cs="宋体"/>
          <w:b/>
          <w:bCs/>
          <w:color w:val="auto"/>
          <w:spacing w:val="2"/>
          <w:sz w:val="24"/>
          <w:szCs w:val="24"/>
          <w:highlight w:val="none"/>
          <w:lang w:val="en-US" w:eastAsia="zh-CN"/>
        </w:rPr>
        <w:t xml:space="preserve">二</w:t>
      </w:r>
      <w:r>
        <w:rPr>
          <w:rFonts w:hint="eastAsia" w:ascii="宋体" w:hAnsi="宋体" w:eastAsia="宋体" w:cs="宋体"/>
          <w:b/>
          <w:bCs/>
          <w:color w:val="auto"/>
          <w:spacing w:val="2"/>
          <w:sz w:val="24"/>
          <w:szCs w:val="24"/>
          <w:highlight w:val="none"/>
        </w:rPr>
        <w:t xml:space="preserve">）成果要求</w:t>
      </w:r>
      <w:r/>
    </w:p>
    <w:p>
      <w:pPr>
        <w:ind w:right="210"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1.中标供应商完成样品采集、分析和报告或报表编制工作后，及时按采购人按</w:t>
      </w:r>
      <w:r>
        <w:rPr>
          <w:rFonts w:hint="eastAsia" w:ascii="宋体" w:hAnsi="宋体" w:cs="仿宋"/>
          <w:b w:val="0"/>
          <w:bCs/>
          <w:color w:val="auto"/>
          <w:sz w:val="24"/>
          <w:highlight w:val="none"/>
          <w:lang w:val="en-US" w:eastAsia="zh-CN"/>
        </w:rPr>
        <w:t xml:space="preserve">合同约定的时间和格式</w:t>
      </w:r>
      <w:r>
        <w:rPr>
          <w:rFonts w:hint="eastAsia" w:ascii="宋体" w:hAnsi="宋体" w:eastAsia="宋体" w:cs="宋体"/>
          <w:b w:val="0"/>
          <w:bCs/>
          <w:color w:val="auto"/>
          <w:sz w:val="24"/>
          <w:szCs w:val="24"/>
          <w:highlight w:val="none"/>
          <w:lang w:val="en-US" w:eastAsia="zh-CN"/>
        </w:rPr>
        <w:t xml:space="preserve">提供有关报告、报表，必要时提供相关原始记录。</w:t>
      </w:r>
      <w:r/>
    </w:p>
    <w:p>
      <w:pPr>
        <w:ind w:firstLine="480"/>
        <w:spacing w:line="360" w:lineRule="auto"/>
        <w:rPr>
          <w:rFonts w:hint="eastAsia" w:ascii="宋体" w:hAnsi="宋体" w:cs="仿宋"/>
          <w:b w:val="0"/>
          <w:bCs/>
          <w:color w:val="auto"/>
          <w:sz w:val="24"/>
          <w:highlight w:val="none"/>
          <w:lang w:val="en-US" w:eastAsia="zh-CN"/>
        </w:rPr>
      </w:pPr>
      <w:r>
        <w:rPr>
          <w:rFonts w:hint="eastAsia" w:ascii="宋体" w:hAnsi="宋体" w:cs="仿宋"/>
          <w:b w:val="0"/>
          <w:bCs/>
          <w:color w:val="auto"/>
          <w:sz w:val="24"/>
          <w:highlight w:val="none"/>
          <w:lang w:val="en-US" w:eastAsia="zh-CN"/>
        </w:rPr>
        <w:t xml:space="preserve">2.中标供应商所提交的成果文件必须保证数据的准确性和完整性，不得有任何篡改或遗漏。</w:t>
      </w:r>
      <w:r/>
    </w:p>
    <w:p>
      <w:pPr>
        <w:ind w:firstLine="480"/>
        <w:spacing w:line="360" w:lineRule="auto"/>
        <w:rPr>
          <w:rFonts w:hint="eastAsia" w:ascii="宋体" w:hAnsi="宋体" w:cs="仿宋"/>
          <w:b w:val="0"/>
          <w:bCs/>
          <w:color w:val="auto"/>
          <w:sz w:val="24"/>
          <w:highlight w:val="none"/>
          <w:lang w:val="en-US" w:eastAsia="zh-CN"/>
        </w:rPr>
      </w:pPr>
      <w:r>
        <w:rPr>
          <w:rFonts w:hint="eastAsia" w:ascii="宋体" w:hAnsi="宋体" w:cs="仿宋"/>
          <w:b w:val="0"/>
          <w:bCs/>
          <w:color w:val="auto"/>
          <w:sz w:val="24"/>
          <w:highlight w:val="none"/>
          <w:lang w:val="en-US" w:eastAsia="zh-CN"/>
        </w:rPr>
        <w:t xml:space="preserve">3.对于提交的成果，采购人有权进行抽查和复核，以验证其真实性和合规性。</w:t>
      </w:r>
      <w:r/>
    </w:p>
    <w:p>
      <w:pPr>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cs="仿宋"/>
          <w:b w:val="0"/>
          <w:bCs/>
          <w:color w:val="auto"/>
          <w:sz w:val="24"/>
          <w:highlight w:val="none"/>
          <w:lang w:val="en-US" w:eastAsia="zh-CN"/>
        </w:rPr>
        <w:t xml:space="preserve">4.如发现成果文件存在质量问题，采购人有权要求中标供应商重新提交或采取其他补救措施。</w:t>
      </w:r>
      <w:r/>
    </w:p>
    <w:p>
      <w:pPr>
        <w:pStyle w:val="1038"/>
        <w:numPr>
          <w:ilvl w:val="0"/>
          <w:numId w:val="0"/>
        </w:numPr>
        <w:contextualSpacing/>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lang w:val="en-US" w:eastAsia="zh-CN"/>
        </w:rPr>
        <w:t xml:space="preserve">履约验收要求</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供应商完成的成果需通过由采购人</w:t>
      </w:r>
      <w:r>
        <w:rPr>
          <w:rFonts w:hint="eastAsia" w:ascii="宋体" w:hAnsi="宋体" w:eastAsia="宋体" w:cs="宋体"/>
          <w:color w:val="auto"/>
          <w:sz w:val="24"/>
          <w:szCs w:val="24"/>
          <w:highlight w:val="none"/>
          <w:lang w:val="en-US" w:eastAsia="zh-CN"/>
        </w:rPr>
        <w:t xml:space="preserve">验收。</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中标供应商在合同期内需按照采购人要求定期提供所承担的监测工作开展情况的数据统计汇总，合同中期（终期）需配合采购人完成履约验收工作，提供履约工作报告（报告需陈述合同期监测工作开展情况、出具报告或报表数据、质量控制情况等）并加盖公章，经采购人验收合格后，作为中标供应商履约完成工作依据。</w:t>
      </w:r>
      <w:r/>
    </w:p>
    <w:p>
      <w:pPr>
        <w:pStyle w:val="1038"/>
        <w:contextualSpacing/>
        <w:ind w:firstLine="482"/>
        <w:jc w:val="left"/>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eastAsia="zh-CN"/>
        </w:rPr>
        <w:t xml:space="preserve">）知识产权和保密</w:t>
      </w:r>
      <w:r>
        <w:rPr>
          <w:rFonts w:hint="eastAsia" w:ascii="宋体" w:hAnsi="宋体" w:eastAsia="宋体" w:cs="宋体"/>
          <w:b/>
          <w:bCs/>
          <w:color w:val="auto"/>
          <w:sz w:val="24"/>
          <w:szCs w:val="24"/>
          <w:highlight w:val="none"/>
          <w:lang w:val="en-US" w:eastAsia="zh-CN"/>
        </w:rPr>
        <w:t xml:space="preserve">要求</w:t>
      </w:r>
      <w:r/>
    </w:p>
    <w:p>
      <w:pPr>
        <w:pStyle w:val="1038"/>
        <w:contextualSpacing/>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应保证</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eastAsia="zh-CN"/>
        </w:rPr>
        <w:t xml:space="preserve">在使用、接受本</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eastAsia="zh-CN"/>
        </w:rPr>
        <w:t xml:space="preserve">服务(包含与服务相关的货物)或其任何一部分时不受第三方提出侵犯其专利权、版权、商标权等知识产权的起诉。一旦出现侵权，由</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负全部责任。</w:t>
      </w:r>
      <w:r/>
    </w:p>
    <w:p>
      <w:pPr>
        <w:pStyle w:val="1038"/>
        <w:contextualSpacing/>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提交的所有成果，其所有权均归</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eastAsia="zh-CN"/>
        </w:rPr>
        <w:t xml:space="preserve">所有，</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eastAsia="zh-CN"/>
        </w:rPr>
        <w:t xml:space="preserve">可任意使用其全部成果。</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未经</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eastAsia="zh-CN"/>
        </w:rPr>
        <w:t xml:space="preserve">允许或授权，不得为本</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lang w:eastAsia="zh-CN"/>
        </w:rPr>
        <w:t xml:space="preserve">规定目的以外的自身利益和其他任何方利益而使用。</w:t>
      </w:r>
      <w:r/>
    </w:p>
    <w:p>
      <w:pPr>
        <w:pStyle w:val="1038"/>
        <w:contextualSpacing/>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及</w:t>
      </w:r>
      <w:r>
        <w:rPr>
          <w:rFonts w:hint="eastAsia" w:ascii="宋体" w:hAnsi="宋体" w:eastAsia="宋体" w:cs="宋体"/>
          <w:color w:val="auto"/>
          <w:sz w:val="24"/>
          <w:szCs w:val="24"/>
          <w:highlight w:val="none"/>
          <w:lang w:val="en-US" w:eastAsia="zh-CN"/>
        </w:rPr>
        <w:t xml:space="preserve">其</w:t>
      </w:r>
      <w:r>
        <w:rPr>
          <w:rFonts w:hint="eastAsia" w:ascii="宋体" w:hAnsi="宋体" w:eastAsia="宋体" w:cs="宋体"/>
          <w:color w:val="auto"/>
          <w:sz w:val="24"/>
          <w:szCs w:val="24"/>
          <w:highlight w:val="none"/>
          <w:lang w:eastAsia="zh-CN"/>
        </w:rPr>
        <w:t xml:space="preserve">工作人员应</w:t>
      </w:r>
      <w:r>
        <w:rPr>
          <w:rFonts w:hint="eastAsia" w:ascii="宋体" w:hAnsi="宋体" w:cs="宋体"/>
          <w:sz w:val="24"/>
          <w:highlight w:val="none"/>
        </w:rPr>
        <w:t xml:space="preserve">严格遵守国家的有关法律、法规、制度规定、有关执业规范等，对监测工作中涉及的客户信息、环境监测数据、资料，应当按照国家有关保密的规定进行管理，只向采购</w:t>
      </w:r>
      <w:r>
        <w:rPr>
          <w:rFonts w:hint="eastAsia" w:ascii="宋体" w:hAnsi="宋体" w:cs="宋体"/>
          <w:sz w:val="24"/>
          <w:highlight w:val="none"/>
          <w:lang w:val="en-US" w:eastAsia="zh-CN"/>
        </w:rPr>
        <w:t xml:space="preserve">人</w:t>
      </w:r>
      <w:r>
        <w:rPr>
          <w:rFonts w:hint="eastAsia" w:ascii="宋体" w:hAnsi="宋体" w:cs="宋体"/>
          <w:sz w:val="24"/>
          <w:highlight w:val="none"/>
        </w:rPr>
        <w:t xml:space="preserve">提供，不得擅自公开。</w:t>
      </w:r>
      <w:r/>
    </w:p>
    <w:p>
      <w:pPr>
        <w:pStyle w:val="1038"/>
        <w:contextualSpacing/>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其他要求</w:t>
      </w:r>
      <w:r/>
    </w:p>
    <w:p>
      <w:pPr>
        <w:pStyle w:val="1038"/>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按照《政府采购促进中小企业发展管理办法》（财库〔2020〕46号）的相关要求，采购人应当面向中小企业预留采购份额，本项目面向中小企业预留份额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0 </w:t>
      </w:r>
      <w:r>
        <w:rPr>
          <w:rFonts w:hint="eastAsia" w:ascii="宋体" w:hAnsi="宋体" w:eastAsia="宋体" w:cs="宋体"/>
          <w:color w:val="auto"/>
          <w:sz w:val="24"/>
          <w:szCs w:val="24"/>
          <w:highlight w:val="none"/>
        </w:rPr>
        <w:t xml:space="preserve">%。</w:t>
      </w:r>
      <w:r/>
    </w:p>
    <w:p>
      <w:pPr>
        <w:ind w:right="21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、报价方式</w:t>
      </w:r>
      <w:r/>
    </w:p>
    <w:p>
      <w:pPr>
        <w:ind w:firstLine="488"/>
        <w:spacing w:line="360" w:lineRule="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本项目报价为</w:t>
      </w:r>
      <w:r>
        <w:rPr>
          <w:rFonts w:hint="eastAsia" w:ascii="宋体" w:hAnsi="宋体" w:eastAsia="宋体" w:cs="宋体"/>
          <w:b/>
          <w:bCs/>
          <w:color w:val="auto"/>
          <w:spacing w:val="2"/>
          <w:sz w:val="24"/>
          <w:szCs w:val="24"/>
          <w:highlight w:val="none"/>
        </w:rPr>
        <w:t xml:space="preserve">固定</w:t>
      </w:r>
      <w:r>
        <w:rPr>
          <w:rFonts w:hint="eastAsia" w:ascii="宋体" w:hAnsi="宋体" w:eastAsia="宋体" w:cs="宋体"/>
          <w:b/>
          <w:bCs/>
          <w:color w:val="auto"/>
          <w:spacing w:val="2"/>
          <w:sz w:val="24"/>
          <w:szCs w:val="24"/>
          <w:highlight w:val="none"/>
          <w:lang w:val="en-US" w:eastAsia="zh-CN"/>
        </w:rPr>
        <w:t xml:space="preserve">优惠率</w:t>
      </w:r>
      <w:r>
        <w:rPr>
          <w:rFonts w:hint="eastAsia" w:ascii="宋体" w:hAnsi="宋体" w:eastAsia="宋体" w:cs="宋体"/>
          <w:color w:val="auto"/>
          <w:spacing w:val="2"/>
          <w:sz w:val="24"/>
          <w:szCs w:val="24"/>
          <w:highlight w:val="none"/>
        </w:rPr>
        <w:t xml:space="preserve">，</w:t>
      </w:r>
      <w:r>
        <w:rPr>
          <w:rFonts w:hint="eastAsia" w:ascii="宋体" w:hAnsi="宋体" w:cs="宋体"/>
          <w:color w:val="auto"/>
          <w:spacing w:val="2"/>
          <w:sz w:val="24"/>
          <w:szCs w:val="24"/>
          <w:highlight w:val="none"/>
          <w:lang w:val="en-US" w:eastAsia="zh-CN"/>
        </w:rPr>
        <w:t xml:space="preserve">投标</w:t>
      </w:r>
      <w:r>
        <w:rPr>
          <w:rFonts w:hint="eastAsia" w:ascii="宋体" w:hAnsi="宋体" w:eastAsia="宋体" w:cs="宋体"/>
          <w:color w:val="auto"/>
          <w:spacing w:val="2"/>
          <w:sz w:val="24"/>
          <w:szCs w:val="24"/>
          <w:highlight w:val="none"/>
        </w:rPr>
        <w:t xml:space="preserve">报价应包括</w:t>
      </w:r>
      <w:r>
        <w:rPr>
          <w:rFonts w:hint="eastAsia" w:ascii="宋体" w:hAnsi="宋体" w:cs="宋体"/>
          <w:color w:val="auto"/>
          <w:spacing w:val="2"/>
          <w:sz w:val="24"/>
          <w:szCs w:val="24"/>
          <w:highlight w:val="none"/>
          <w:lang w:val="en-US" w:eastAsia="zh-CN"/>
        </w:rPr>
        <w:t xml:space="preserve">招标</w:t>
      </w:r>
      <w:r>
        <w:rPr>
          <w:rFonts w:hint="eastAsia" w:ascii="宋体" w:hAnsi="宋体" w:eastAsia="宋体" w:cs="宋体"/>
          <w:color w:val="auto"/>
          <w:spacing w:val="2"/>
          <w:sz w:val="24"/>
          <w:szCs w:val="24"/>
          <w:highlight w:val="none"/>
        </w:rPr>
        <w:t xml:space="preserve">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ind w:firstLine="488"/>
        <w:keepLines w:val="0"/>
        <w:keepNext w:val="0"/>
        <w:pageBreakBefore w:val="0"/>
        <w:spacing w:line="360" w:lineRule="auto"/>
        <w:widowControl w:val="off"/>
        <w:rPr>
          <w:rFonts w:hint="default" w:ascii="宋体" w:hAnsi="宋体" w:eastAsia="宋体" w:cs="宋体"/>
          <w:color w:val="auto"/>
          <w:spacing w:val="2"/>
          <w:sz w:val="24"/>
          <w:szCs w:val="24"/>
          <w:highlight w:val="none"/>
          <w:lang w:val="en-US" w:eastAsia="zh-CN"/>
        </w:rPr>
        <w:outlineLvl w:val="9"/>
      </w:pPr>
      <w:r>
        <w:rPr>
          <w:rFonts w:hint="eastAsia" w:ascii="宋体" w:hAnsi="宋体" w:eastAsia="宋体" w:cs="宋体"/>
          <w:color w:val="auto"/>
          <w:spacing w:val="2"/>
          <w:sz w:val="24"/>
          <w:szCs w:val="24"/>
          <w:highlight w:val="none"/>
          <w:lang w:val="en-US" w:eastAsia="zh-CN"/>
        </w:rPr>
        <w:t xml:space="preserve">结算单价</w:t>
      </w:r>
      <w:r>
        <w:rPr>
          <w:rFonts w:hint="eastAsia" w:ascii="宋体" w:hAnsi="宋体" w:eastAsia="宋体" w:cs="宋体"/>
          <w:b w:val="0"/>
          <w:bCs w:val="0"/>
          <w:color w:val="auto"/>
          <w:sz w:val="24"/>
          <w:szCs w:val="24"/>
          <w:highlight w:val="none"/>
          <w:u w:val="none"/>
        </w:rPr>
        <w:t xml:space="preserve">以《江苏省环境监测专业服务管理办法》、《江苏省环境监测专业服务收费标准》（苏价费[2006]397号）和《省物价局、省财政厅关于降低收费标准和实施收费减免的通知》为基准</w:t>
      </w:r>
      <w:r>
        <w:rPr>
          <w:rFonts w:hint="eastAsia" w:ascii="宋体" w:hAnsi="宋体" w:eastAsia="宋体" w:cs="宋体"/>
          <w:b w:val="0"/>
          <w:bCs w:val="0"/>
          <w:color w:val="auto"/>
          <w:sz w:val="24"/>
          <w:szCs w:val="24"/>
          <w:highlight w:val="none"/>
          <w:u w:val="none"/>
          <w:lang w:val="en-US" w:eastAsia="zh-CN"/>
        </w:rPr>
        <w:t xml:space="preserve">*（1-</w:t>
      </w:r>
      <w:r>
        <w:rPr>
          <w:rFonts w:hint="eastAsia" w:ascii="宋体" w:hAnsi="宋体" w:cs="宋体"/>
          <w:b w:val="0"/>
          <w:bCs w:val="0"/>
          <w:color w:val="auto"/>
          <w:sz w:val="24"/>
          <w:szCs w:val="24"/>
          <w:highlight w:val="none"/>
          <w:u w:val="none"/>
          <w:lang w:val="en-US" w:eastAsia="zh-CN"/>
        </w:rPr>
        <w:t xml:space="preserve">中标优惠率</w:t>
      </w:r>
      <w:r>
        <w:rPr>
          <w:rFonts w:hint="eastAsia" w:ascii="宋体" w:hAnsi="宋体" w:eastAsia="宋体" w:cs="宋体"/>
          <w:b w:val="0"/>
          <w:bCs w:val="0"/>
          <w:color w:val="auto"/>
          <w:sz w:val="24"/>
          <w:szCs w:val="24"/>
          <w:highlight w:val="none"/>
          <w:u w:val="none"/>
          <w:lang w:val="en-US" w:eastAsia="zh-CN"/>
        </w:rPr>
        <w:t xml:space="preserve">），实际结算金额为结算单价*最终监测工作量为准。</w:t>
      </w:r>
      <w:r/>
    </w:p>
    <w:p>
      <w:pPr>
        <w:ind w:firstLine="480"/>
        <w:spacing w:line="360" w:lineRule="auto"/>
        <w:rPr>
          <w:rFonts w:asciiTheme="minorEastAsia" w:hAnsiTheme="minorEastAsia"/>
          <w:bCs/>
          <w:sz w:val="24"/>
          <w:szCs w:val="24"/>
          <w:highlight w:val="none"/>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asciiTheme="minorEastAsia" w:hAnsiTheme="minorEastAsia"/>
          <w:bCs/>
          <w:sz w:val="24"/>
          <w:szCs w:val="24"/>
          <w:highlight w:val="none"/>
        </w:rPr>
      </w:r>
      <w:r/>
    </w:p>
    <w:p>
      <w:pPr>
        <w:pStyle w:val="989"/>
        <w:ind w:left="343" w:hanging="343"/>
        <w:rPr>
          <w:rFonts w:ascii="宋体" w:hAnsi="宋体" w:cs="宋体"/>
          <w:highlight w:val="none"/>
        </w:rPr>
      </w:pPr>
      <w:r/>
      <w:bookmarkStart w:id="517" w:name="_Toc16062"/>
      <w:r/>
      <w:bookmarkStart w:id="518" w:name="_Toc18239"/>
      <w:r/>
      <w:bookmarkStart w:id="519" w:name="_Toc14098"/>
      <w:r>
        <w:rPr>
          <w:rFonts w:hint="eastAsia" w:ascii="宋体" w:hAnsi="宋体" w:cs="宋体"/>
          <w:highlight w:val="none"/>
        </w:rPr>
        <w:t xml:space="preserve">第六章 拟签订的合同文本</w:t>
      </w:r>
      <w:bookmarkEnd w:id="512"/>
      <w:r/>
      <w:bookmarkEnd w:id="517"/>
      <w:r/>
      <w:bookmarkEnd w:id="518"/>
      <w:r/>
      <w:bookmarkEnd w:id="519"/>
      <w:r>
        <w:rPr>
          <w:rFonts w:hint="eastAsia" w:ascii="仿宋" w:hAnsi="仿宋" w:eastAsia="仿宋"/>
          <w:sz w:val="30"/>
          <w:szCs w:val="30"/>
          <w:highlight w:val="none"/>
        </w:rPr>
        <w:t xml:space="preserve"> </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采购人（以下称甲方）:                       合同编号：</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供应商（以下称乙方）:                       签订地点：</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合同时间:     年   月   日</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甲乙双方依据《中华人民共和国民法典》以及有关法律、法规的规定，经协商一致，订立本合同，以便共同遵守。</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第一条 合同标的</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乙方根据甲方需求提供下列服务，系指根据合同规定乙方须承担与服务有关的所有辅助服务。</w:t>
      </w:r>
      <w:r/>
    </w:p>
    <w:p>
      <w:pPr>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服务清单如下：</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第二条 合同价格</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签约合同总价（人民币，下同）：          元（小写       元）。</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本合同总价包括</w:t>
      </w:r>
      <w:r>
        <w:rPr>
          <w:rFonts w:hint="eastAsia" w:ascii="宋体" w:hAnsi="宋体" w:cs="宋体"/>
          <w:color w:val="auto"/>
          <w:sz w:val="24"/>
          <w:szCs w:val="24"/>
          <w:highlight w:val="none"/>
          <w:lang w:val="en-US" w:eastAsia="zh-CN"/>
        </w:rPr>
        <w:t xml:space="preserve">招标</w:t>
      </w:r>
      <w:r>
        <w:rPr>
          <w:rFonts w:hint="eastAsia" w:ascii="宋体" w:hAnsi="宋体" w:cs="宋体"/>
          <w:color w:val="auto"/>
          <w:sz w:val="24"/>
          <w:szCs w:val="24"/>
          <w:highlight w:val="none"/>
        </w:rPr>
        <w:t xml:space="preserve">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本合同总价款还包含乙方应当提供的伴随服务/售后服务费用。</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第三条 组成本合同的有关文件</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下列与本次采购活动有关的文件及有关附件是本合同不可分割的组成部分，与本合同具有同等法律效力，这些文件包括但不限于：</w:t>
      </w:r>
      <w:r/>
    </w:p>
    <w:p>
      <w:pPr>
        <w:numPr>
          <w:ilvl w:val="0"/>
          <w:numId w:val="13"/>
        </w:numPr>
        <w:jc w:val="left"/>
        <w:spacing w:line="360" w:lineRule="auto"/>
        <w:rPr>
          <w:rFonts w:hint="eastAsia"/>
          <w:bCs/>
          <w:sz w:val="24"/>
          <w:highlight w:val="none"/>
          <w:lang w:val="en-US" w:eastAsia="zh-CN"/>
        </w:rPr>
      </w:pPr>
      <w:r>
        <w:rPr>
          <w:rFonts w:hint="eastAsia" w:ascii="宋体" w:hAnsi="宋体" w:cs="宋体"/>
          <w:color w:val="auto"/>
          <w:sz w:val="24"/>
          <w:szCs w:val="24"/>
          <w:highlight w:val="none"/>
          <w:lang w:eastAsia="zh-CN"/>
        </w:rPr>
        <w:t xml:space="preserve">JSZC-320412-CZJC-G2026-0001</w:t>
      </w:r>
      <w:r>
        <w:rPr>
          <w:rFonts w:hint="eastAsia" w:ascii="宋体" w:hAnsi="宋体" w:cs="宋体"/>
          <w:color w:val="auto"/>
          <w:sz w:val="24"/>
          <w:szCs w:val="24"/>
          <w:highlight w:val="none"/>
          <w:lang w:val="en-US" w:eastAsia="zh-CN"/>
        </w:rPr>
        <w:t xml:space="preserve">号</w:t>
      </w:r>
      <w:r>
        <w:rPr>
          <w:rFonts w:hint="eastAsia"/>
          <w:bCs/>
          <w:sz w:val="24"/>
          <w:highlight w:val="none"/>
        </w:rPr>
        <w:t xml:space="preserve">招标文件</w:t>
      </w:r>
      <w:r>
        <w:rPr>
          <w:rFonts w:hint="eastAsia"/>
          <w:bCs/>
          <w:sz w:val="24"/>
          <w:highlight w:val="none"/>
          <w:lang w:eastAsia="zh-CN"/>
        </w:rPr>
        <w:t xml:space="preserve">；</w:t>
      </w:r>
      <w:r>
        <w:rPr>
          <w:rFonts w:hint="eastAsia"/>
          <w:bCs/>
          <w:sz w:val="24"/>
          <w:highlight w:val="none"/>
          <w:lang w:val="en-US" w:eastAsia="zh-CN"/>
        </w:rPr>
        <w:t xml:space="preserve">         </w:t>
      </w:r>
      <w:r/>
    </w:p>
    <w:p>
      <w:pPr>
        <w:numPr>
          <w:ilvl w:val="0"/>
          <w:numId w:val="13"/>
        </w:num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乙方提供的</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rPr>
        <w:t xml:space="preserve">文件；</w:t>
      </w:r>
      <w:r/>
    </w:p>
    <w:p>
      <w:pPr>
        <w:numPr>
          <w:ilvl w:val="0"/>
          <w:numId w:val="13"/>
        </w:num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rPr>
        <w:t xml:space="preserve">通知书；                  </w:t>
      </w:r>
      <w:r/>
    </w:p>
    <w:p>
      <w:pPr>
        <w:numPr>
          <w:ilvl w:val="0"/>
          <w:numId w:val="13"/>
        </w:num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甲乙双方商定的其他文件等。</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第四条 合同款结算及支付</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1.本合同项下所有款项均以人民币支付。</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2.本合同项下的采购资金由甲方自行支付，乙方向甲方开具发票。</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3.结算方式：</w:t>
      </w:r>
      <w:r>
        <w:rPr>
          <w:rFonts w:hint="eastAsia" w:ascii="宋体" w:hAnsi="宋体" w:eastAsia="宋体" w:cs="宋体"/>
          <w:color w:val="auto"/>
          <w:sz w:val="24"/>
          <w:szCs w:val="24"/>
          <w:highlight w:val="none"/>
          <w:lang w:val="en-US" w:eastAsia="zh-CN"/>
        </w:rPr>
        <w:t xml:space="preserve">根据单价按实结算。结算单价</w:t>
      </w:r>
      <w:r>
        <w:rPr>
          <w:rFonts w:hint="eastAsia" w:ascii="宋体" w:hAnsi="宋体" w:eastAsia="宋体" w:cs="宋体"/>
          <w:color w:val="auto"/>
          <w:sz w:val="24"/>
          <w:szCs w:val="24"/>
          <w:highlight w:val="none"/>
        </w:rPr>
        <w:t xml:space="preserve">以《江苏省环境监测专业服务管理办法》、《江苏省环境监测专业服务收费标准》（苏价费[2006]397号）和《省物价局、省财政厅关于降低收费标准和实施收费减免的通知》为基准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u w:val="single"/>
          <w:lang w:val="en-US" w:eastAsia="zh-CN"/>
        </w:rPr>
        <w:t xml:space="preserve">    %</w:t>
      </w:r>
      <w:r/>
    </w:p>
    <w:p>
      <w:pPr>
        <w:contextualSpacing/>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4.付款方式：</w:t>
      </w:r>
      <w:r>
        <w:rPr>
          <w:rFonts w:hint="eastAsia" w:ascii="宋体" w:hAnsi="宋体" w:cs="宋体"/>
          <w:bCs/>
          <w:color w:val="auto"/>
          <w:sz w:val="24"/>
          <w:szCs w:val="24"/>
          <w:highlight w:val="none"/>
          <w:lang w:val="en-US" w:eastAsia="zh-CN"/>
        </w:rPr>
        <w:t xml:space="preserve">分两笔结算支付，</w:t>
      </w:r>
      <w:r>
        <w:rPr>
          <w:rFonts w:hint="eastAsia" w:ascii="宋体" w:hAnsi="宋体" w:cs="宋体"/>
          <w:bCs/>
          <w:color w:val="auto"/>
          <w:sz w:val="24"/>
          <w:highlight w:val="none"/>
        </w:rPr>
        <w:t xml:space="preserve">2026年6月底根据完成的工作量按实结算，</w:t>
      </w:r>
      <w:r>
        <w:rPr>
          <w:rFonts w:hint="eastAsia" w:ascii="宋体" w:hAnsi="宋体" w:cs="宋体"/>
          <w:bCs/>
          <w:color w:val="auto"/>
          <w:sz w:val="24"/>
          <w:highlight w:val="none"/>
          <w:lang w:val="en-US" w:eastAsia="zh-CN"/>
        </w:rPr>
        <w:t xml:space="preserve">服务期结束后</w:t>
      </w:r>
      <w:r>
        <w:rPr>
          <w:rFonts w:hint="eastAsia" w:ascii="宋体" w:hAnsi="宋体" w:eastAsia="宋体" w:cs="宋体"/>
          <w:color w:val="auto"/>
          <w:sz w:val="24"/>
          <w:szCs w:val="24"/>
          <w:highlight w:val="none"/>
        </w:rPr>
        <w:t xml:space="preserve">经履约验收后</w:t>
      </w:r>
      <w:r>
        <w:rPr>
          <w:rFonts w:hint="eastAsia" w:ascii="宋体" w:hAnsi="宋体" w:cs="宋体"/>
          <w:bCs/>
          <w:color w:val="auto"/>
          <w:sz w:val="24"/>
          <w:highlight w:val="none"/>
        </w:rPr>
        <w:t xml:space="preserve">根据完成的工作量按实结算</w:t>
      </w:r>
      <w:bookmarkStart w:id="537" w:name="_GoBack"/>
      <w:r/>
      <w:bookmarkEnd w:id="537"/>
      <w:r>
        <w:rPr>
          <w:rFonts w:hint="eastAsia" w:ascii="宋体" w:hAnsi="宋体" w:cs="宋体"/>
          <w:color w:val="auto"/>
          <w:sz w:val="24"/>
          <w:szCs w:val="24"/>
          <w:highlight w:val="none"/>
        </w:rPr>
        <w:t xml:space="preserve">（具体以签订的合同为准）。</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第五条 违约责任</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1.如乙方不能按约定进行服务的，甲方有权解除合同，同时有权要求乙方按照合同总价5%的标准支付违约金，解除合同的通知自发出之日生效。</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2.甲方未按合同规定的期限向乙方支付款项的，每逾期1天甲方向乙方偿付欠款总额的5‰滞纳金，但累计滞纳金总额不超过欠款总额的5% 。</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3.乙方未按本合同的规定和“服务承诺”提供伴随服务的，甲方有权提前解除本合同，同时乙方应按合同总价款的5 %向甲方承担违约责任。</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4.乙方在承担上述一项或多项违约责任后，仍应继续履行合同规定的义务（甲方解除合同的除外）。甲方未能及时追究乙方的任何一项违约责任并不表明甲方放弃追究乙方该项或其他违约责任。</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5.乙方有虚假承诺，或是由于乙方的过错造成合同无法继续履行的，应向甲方支付不少于合同总价30%违约金，若该违约金不足以弥补甲方损失，则应当赔偿甲方所有损失。</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6.其他未尽事宜，以《中华人民共和国民法典》等有关法律法规规定为准，无相关规定的，双方协商解决。</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第六条 合同的变更和终止</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1.本合同一经签订，甲乙双方不得擅自变更、中止或终止合同。</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2.除发生法律规定的不能预见、不能避免并不能克服的客观情况外，甲乙双方不得放弃或拒绝履行合同。</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第七条 合同的转让</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乙方不得擅自部分或全部转让其应履行的合同义务。</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第八条 不可抗力</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甲、乙方中任何一方，因不可抗力不能按时或完全履行合同的，应及时通知对方，并在   个工作日内提供相应证明。未履行完合同部分是否继续履行、如何履行等问题，可由双方初步协商，并向主管部门报告。确定为不可抗力原因造成的损失，免予承担责任。</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第九条 争议的解决</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1.因履行本合同引起的或与本合同有关的争议，甲、乙双方应首先通过友好协商解决，如果协商不能解决争议，则采取以下第（ ）种方式解决争议：</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（1）向甲方所在地人民法院提起诉讼；</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（2）向甲方所在地仲裁委员会按其仲裁规则申请仲裁。</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如没有约定，默认采取第2种方式解决争议。</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2.在法院审理和仲裁期间，除有争议部分外，本合同其他部分应继续履行。</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第十条 诚实信用 </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乙方应诚实信用，严格按照</w:t>
      </w:r>
      <w:r>
        <w:rPr>
          <w:rFonts w:hint="eastAsia" w:ascii="宋体" w:hAnsi="宋体" w:cs="宋体"/>
          <w:color w:val="auto"/>
          <w:sz w:val="24"/>
          <w:szCs w:val="24"/>
          <w:highlight w:val="none"/>
          <w:lang w:val="en-US" w:eastAsia="zh-CN"/>
        </w:rPr>
        <w:t xml:space="preserve">招标</w:t>
      </w:r>
      <w:r>
        <w:rPr>
          <w:rFonts w:hint="eastAsia" w:ascii="宋体" w:hAnsi="宋体" w:cs="宋体"/>
          <w:color w:val="auto"/>
          <w:sz w:val="24"/>
          <w:szCs w:val="24"/>
          <w:highlight w:val="none"/>
        </w:rPr>
        <w:t xml:space="preserve">文件要求和承诺履行合同，不向甲方进行商业贿赂或者提供不正当利益。</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第十一条 合同生效及其他</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1.本合同自经甲乙双方授权代表签订并加盖公章后，自签订之日起生效。</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2.本合同一式肆份，甲乙双方各执贰份。</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3.本合同应按照中华人民共和国的现行法律进行解释。</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    方：                               乙    方：</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单位名称（章）：                          单位名称（章）：</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单位地址：                               单位地址：</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       委托代理人：          法定代表人：     委托代理人：                            </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                                   电话：            传真：</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传真：                                   开户银行：        账号：</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jc w:val="left"/>
        <w:spacing w:line="360" w:lineRule="auto"/>
        <w:rPr>
          <w:rFonts w:ascii="宋体" w:hAnsi="宋体" w:cs="宋体"/>
          <w:szCs w:val="21"/>
          <w:highlight w:val="none"/>
        </w:rPr>
      </w:pPr>
      <w:r>
        <w:rPr>
          <w:rFonts w:ascii="宋体" w:hAnsi="宋体" w:cs="宋体"/>
          <w:szCs w:val="21"/>
          <w:highlight w:val="none"/>
        </w:rPr>
      </w:r>
      <w:r/>
    </w:p>
    <w:p>
      <w:pPr>
        <w:ind w:firstLine="420"/>
        <w:jc w:val="left"/>
        <w:spacing w:line="360" w:lineRule="auto"/>
        <w:rPr>
          <w:rFonts w:hint="default" w:ascii="宋体" w:hAnsi="宋体" w:cs="宋体"/>
          <w:szCs w:val="21"/>
          <w:highlight w:val="none"/>
          <w:lang w:val="en-US" w:eastAsia="zh-CN"/>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cs="宋体"/>
          <w:szCs w:val="21"/>
          <w:highlight w:val="none"/>
        </w:rPr>
        <w:t xml:space="preserve">以上</w:t>
      </w:r>
      <w:r>
        <w:rPr>
          <w:rFonts w:hint="eastAsia" w:ascii="宋体" w:hAnsi="宋体" w:cs="宋体"/>
          <w:szCs w:val="21"/>
          <w:highlight w:val="none"/>
          <w:lang w:val="en-US" w:eastAsia="zh-CN"/>
        </w:rPr>
        <w:t xml:space="preserve">内容</w:t>
      </w:r>
      <w:r>
        <w:rPr>
          <w:rFonts w:ascii="宋体" w:hAnsi="宋体" w:cs="宋体"/>
          <w:szCs w:val="21"/>
          <w:highlight w:val="none"/>
        </w:rPr>
        <w:t xml:space="preserve">仅供</w:t>
      </w:r>
      <w:r>
        <w:rPr>
          <w:rFonts w:hint="eastAsia" w:ascii="宋体" w:hAnsi="宋体" w:cs="宋体"/>
          <w:szCs w:val="21"/>
          <w:highlight w:val="none"/>
          <w:lang w:val="en-US" w:eastAsia="zh-CN"/>
        </w:rPr>
        <w:t xml:space="preserve">参考 具体以签订合同为准</w:t>
      </w:r>
      <w:r/>
    </w:p>
    <w:p>
      <w:pPr>
        <w:pStyle w:val="989"/>
        <w:rPr>
          <w:highlight w:val="none"/>
        </w:rPr>
      </w:pPr>
      <w:r/>
      <w:bookmarkStart w:id="520" w:name="_Toc11833"/>
      <w:r/>
      <w:bookmarkStart w:id="521" w:name="_Toc104818930"/>
      <w:r/>
      <w:bookmarkStart w:id="522" w:name="_Toc2051"/>
      <w:r/>
      <w:bookmarkStart w:id="523" w:name="_Toc12124"/>
      <w:r>
        <w:rPr>
          <w:rFonts w:hint="eastAsia"/>
          <w:highlight w:val="none"/>
        </w:rPr>
        <w:t xml:space="preserve">第七章 投标文件格式</w:t>
      </w:r>
      <w:bookmarkEnd w:id="520"/>
      <w:r/>
      <w:bookmarkEnd w:id="521"/>
      <w:r/>
      <w:bookmarkEnd w:id="522"/>
      <w:r/>
      <w:bookmarkEnd w:id="523"/>
      <w:r/>
      <w:r/>
    </w:p>
    <w:p>
      <w:pPr>
        <w:pStyle w:val="1046"/>
        <w:ind w:firstLine="482"/>
        <w:spacing w:line="360" w:lineRule="auto"/>
        <w:rPr>
          <w:rFonts w:eastAsia="宋体" w:cs="宋体"/>
          <w:b/>
          <w:sz w:val="24"/>
          <w:szCs w:val="24"/>
          <w:highlight w:val="none"/>
        </w:rPr>
      </w:pPr>
      <w:r>
        <w:rPr>
          <w:rFonts w:hint="eastAsia" w:eastAsia="宋体" w:cs="宋体"/>
          <w:b/>
          <w:sz w:val="24"/>
          <w:szCs w:val="24"/>
          <w:highlight w:val="none"/>
        </w:rPr>
        <w:t xml:space="preserve">投标人编制文件须知</w:t>
      </w:r>
      <w:r/>
    </w:p>
    <w:p>
      <w:pPr>
        <w:pStyle w:val="1046"/>
        <w:ind w:firstLine="480"/>
        <w:spacing w:line="360" w:lineRule="auto"/>
        <w:rPr>
          <w:rFonts w:eastAsia="宋体" w:cs="宋体"/>
          <w:sz w:val="24"/>
          <w:szCs w:val="24"/>
          <w:highlight w:val="none"/>
        </w:rPr>
      </w:pPr>
      <w:r>
        <w:rPr>
          <w:rFonts w:hint="eastAsia" w:eastAsia="宋体" w:cs="宋体"/>
          <w:sz w:val="24"/>
          <w:szCs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pStyle w:val="1046"/>
        <w:ind w:firstLine="480"/>
        <w:spacing w:line="360" w:lineRule="auto"/>
        <w:rPr>
          <w:rFonts w:eastAsia="宋体" w:cs="宋体"/>
          <w:sz w:val="24"/>
          <w:szCs w:val="24"/>
          <w:highlight w:val="none"/>
        </w:rPr>
      </w:pPr>
      <w:r>
        <w:rPr>
          <w:rFonts w:hint="eastAsia" w:eastAsia="宋体" w:cs="宋体"/>
          <w:sz w:val="24"/>
          <w:szCs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pStyle w:val="1046"/>
        <w:ind w:firstLine="480"/>
        <w:spacing w:line="360" w:lineRule="auto"/>
        <w:rPr>
          <w:rFonts w:eastAsia="宋体" w:cs="宋体"/>
          <w:sz w:val="24"/>
          <w:szCs w:val="24"/>
          <w:highlight w:val="none"/>
        </w:rPr>
      </w:pPr>
      <w:r>
        <w:rPr>
          <w:rFonts w:hint="eastAsia" w:eastAsia="宋体" w:cs="宋体"/>
          <w:sz w:val="24"/>
          <w:szCs w:val="24"/>
          <w:highlight w:val="none"/>
        </w:rPr>
        <w:t xml:space="preserve">3、全部声明和问题的回答及所附材料必须是真实的、准确的和完整的。</w:t>
      </w:r>
      <w:r/>
    </w:p>
    <w:p>
      <w:pPr>
        <w:pStyle w:val="1046"/>
        <w:ind w:firstLine="480"/>
        <w:spacing w:line="360" w:lineRule="auto"/>
        <w:rPr>
          <w:rFonts w:eastAsia="宋体" w:cs="宋体"/>
          <w:sz w:val="24"/>
          <w:szCs w:val="24"/>
          <w:highlight w:val="none"/>
        </w:rPr>
        <w:sectPr>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eastAsia="宋体" w:cs="宋体"/>
          <w:sz w:val="24"/>
          <w:szCs w:val="24"/>
          <w:highlight w:val="none"/>
        </w:rPr>
        <w:t xml:space="preserve">4、实行电子化不见面交易方式的，加盖公章、签名等均通过投标文件编制工具加盖电子公章、签字、签章或印鉴。</w:t>
      </w:r>
      <w:r/>
    </w:p>
    <w:p>
      <w:pPr>
        <w:ind w:left="267" w:hanging="267"/>
        <w:spacing w:line="360" w:lineRule="auto"/>
        <w:rPr>
          <w:rFonts w:ascii="宋体" w:hAnsi="宋体" w:cs="宋体"/>
          <w:b/>
          <w:sz w:val="24"/>
          <w:highlight w:val="none"/>
        </w:rPr>
      </w:pPr>
      <w:r>
        <w:rPr>
          <w:rFonts w:hint="eastAsia" w:ascii="宋体" w:hAnsi="宋体" w:cs="宋体"/>
          <w:b/>
          <w:spacing w:val="20"/>
          <w:sz w:val="24"/>
          <w:highlight w:val="none"/>
        </w:rPr>
        <w:t xml:space="preserve">投标文件</w:t>
      </w:r>
      <w:r>
        <w:rPr>
          <w:rFonts w:hint="eastAsia" w:ascii="宋体" w:hAnsi="宋体" w:cs="宋体"/>
          <w:b/>
          <w:sz w:val="24"/>
          <w:highlight w:val="none"/>
        </w:rPr>
        <w:t xml:space="preserve">封面（非实质性格式）</w:t>
      </w:r>
      <w:r/>
    </w:p>
    <w:p>
      <w:pPr>
        <w:ind w:left="915" w:hanging="915"/>
        <w:jc w:val="center"/>
        <w:spacing w:line="360" w:lineRule="auto"/>
        <w:rPr>
          <w:rFonts w:ascii="宋体" w:hAnsi="宋体" w:cs="宋体"/>
          <w:b/>
          <w:spacing w:val="60"/>
          <w:sz w:val="84"/>
          <w:szCs w:val="84"/>
          <w:highlight w:val="none"/>
        </w:rPr>
      </w:pPr>
      <w:r>
        <w:rPr>
          <w:rFonts w:ascii="宋体" w:hAnsi="宋体" w:cs="宋体"/>
          <w:b/>
          <w:spacing w:val="60"/>
          <w:sz w:val="84"/>
          <w:szCs w:val="84"/>
          <w:highlight w:val="none"/>
        </w:rPr>
      </w:r>
      <w:r/>
    </w:p>
    <w:p>
      <w:pPr>
        <w:ind w:left="915" w:hanging="915"/>
        <w:jc w:val="center"/>
        <w:spacing w:line="360" w:lineRule="auto"/>
        <w:rPr>
          <w:rFonts w:ascii="宋体" w:hAnsi="宋体" w:cs="宋体"/>
          <w:b/>
          <w:spacing w:val="60"/>
          <w:sz w:val="84"/>
          <w:szCs w:val="84"/>
          <w:highlight w:val="none"/>
        </w:rPr>
      </w:pPr>
      <w:r>
        <w:rPr>
          <w:rFonts w:ascii="宋体" w:hAnsi="宋体" w:cs="宋体"/>
          <w:b/>
          <w:spacing w:val="60"/>
          <w:sz w:val="84"/>
          <w:szCs w:val="84"/>
          <w:highlight w:val="none"/>
        </w:rPr>
      </w:r>
      <w:r/>
    </w:p>
    <w:p>
      <w:pPr>
        <w:ind w:left="915" w:hanging="915"/>
        <w:jc w:val="center"/>
        <w:spacing w:line="360" w:lineRule="auto"/>
        <w:rPr>
          <w:rFonts w:ascii="宋体" w:hAnsi="宋体" w:cs="宋体"/>
          <w:b/>
          <w:spacing w:val="60"/>
          <w:sz w:val="84"/>
          <w:szCs w:val="84"/>
          <w:highlight w:val="none"/>
        </w:rPr>
      </w:pPr>
      <w:r>
        <w:rPr>
          <w:rFonts w:ascii="宋体" w:hAnsi="宋体" w:cs="宋体"/>
          <w:b/>
          <w:spacing w:val="60"/>
          <w:sz w:val="84"/>
          <w:szCs w:val="84"/>
          <w:highlight w:val="none"/>
        </w:rPr>
      </w:r>
      <w:r/>
    </w:p>
    <w:p>
      <w:pPr>
        <w:ind w:left="915" w:hanging="915"/>
        <w:jc w:val="center"/>
        <w:spacing w:line="360" w:lineRule="auto"/>
        <w:rPr>
          <w:rFonts w:ascii="宋体" w:hAnsi="宋体" w:cs="宋体"/>
          <w:b/>
          <w:spacing w:val="60"/>
          <w:sz w:val="84"/>
          <w:szCs w:val="84"/>
          <w:highlight w:val="none"/>
        </w:rPr>
      </w:pPr>
      <w:r>
        <w:rPr>
          <w:rFonts w:hint="eastAsia" w:ascii="宋体" w:hAnsi="宋体" w:cs="宋体"/>
          <w:b/>
          <w:spacing w:val="60"/>
          <w:sz w:val="84"/>
          <w:szCs w:val="84"/>
          <w:highlight w:val="none"/>
        </w:rPr>
        <w:t xml:space="preserve">投 标 文件</w:t>
      </w:r>
      <w:r/>
    </w:p>
    <w:p>
      <w:pPr>
        <w:ind w:left="915" w:hanging="915"/>
        <w:jc w:val="center"/>
        <w:spacing w:line="360" w:lineRule="auto"/>
        <w:rPr>
          <w:rFonts w:ascii="宋体" w:hAnsi="宋体" w:cs="宋体"/>
          <w:b/>
          <w:spacing w:val="60"/>
          <w:sz w:val="84"/>
          <w:szCs w:val="84"/>
          <w:highlight w:val="none"/>
        </w:rPr>
      </w:pPr>
      <w:r>
        <w:rPr>
          <w:rFonts w:ascii="宋体" w:hAnsi="宋体" w:cs="宋体"/>
          <w:b/>
          <w:spacing w:val="60"/>
          <w:sz w:val="84"/>
          <w:szCs w:val="84"/>
          <w:highlight w:val="none"/>
        </w:rPr>
      </w:r>
      <w:r/>
    </w:p>
    <w:p>
      <w:pPr>
        <w:ind w:left="915" w:hanging="915"/>
        <w:jc w:val="center"/>
        <w:spacing w:line="360" w:lineRule="auto"/>
        <w:rPr>
          <w:rFonts w:ascii="宋体" w:hAnsi="宋体" w:cs="宋体"/>
          <w:b/>
          <w:spacing w:val="60"/>
          <w:sz w:val="84"/>
          <w:szCs w:val="84"/>
          <w:highlight w:val="none"/>
        </w:rPr>
      </w:pPr>
      <w:r>
        <w:rPr>
          <w:rFonts w:ascii="宋体" w:hAnsi="宋体" w:cs="宋体"/>
          <w:b/>
          <w:spacing w:val="60"/>
          <w:sz w:val="84"/>
          <w:szCs w:val="84"/>
          <w:highlight w:val="none"/>
        </w:rPr>
      </w:r>
      <w:r/>
    </w:p>
    <w:p>
      <w:pPr>
        <w:ind w:left="915" w:hanging="915"/>
        <w:jc w:val="center"/>
        <w:spacing w:line="360" w:lineRule="auto"/>
        <w:rPr>
          <w:rFonts w:ascii="宋体" w:hAnsi="宋体" w:cs="宋体"/>
          <w:b/>
          <w:spacing w:val="60"/>
          <w:sz w:val="84"/>
          <w:szCs w:val="84"/>
          <w:highlight w:val="none"/>
        </w:rPr>
      </w:pPr>
      <w:r>
        <w:rPr>
          <w:rFonts w:ascii="宋体" w:hAnsi="宋体" w:cs="宋体"/>
          <w:b/>
          <w:spacing w:val="60"/>
          <w:sz w:val="84"/>
          <w:szCs w:val="84"/>
          <w:highlight w:val="none"/>
        </w:rPr>
      </w:r>
      <w:r/>
    </w:p>
    <w:p>
      <w:pPr>
        <w:ind w:firstLine="1084"/>
        <w:rPr>
          <w:rFonts w:ascii="宋体" w:hAnsi="宋体" w:cs="宋体"/>
          <w:b/>
          <w:sz w:val="36"/>
          <w:highlight w:val="none"/>
        </w:rPr>
      </w:pPr>
      <w:r>
        <w:rPr>
          <w:rFonts w:hint="eastAsia" w:ascii="宋体" w:hAnsi="宋体" w:cs="宋体"/>
          <w:b/>
          <w:sz w:val="36"/>
          <w:highlight w:val="none"/>
        </w:rPr>
        <w:t xml:space="preserve">项 目 名 称：</w:t>
      </w:r>
      <w:r/>
    </w:p>
    <w:p>
      <w:pPr>
        <w:ind w:firstLine="1084"/>
        <w:rPr>
          <w:rFonts w:ascii="宋体" w:hAnsi="宋体" w:cs="宋体"/>
          <w:b/>
          <w:sz w:val="36"/>
          <w:highlight w:val="none"/>
          <w:u w:val="single"/>
        </w:rPr>
      </w:pPr>
      <w:r>
        <w:rPr>
          <w:rFonts w:hint="eastAsia" w:ascii="宋体" w:hAnsi="宋体" w:cs="宋体"/>
          <w:b/>
          <w:sz w:val="36"/>
          <w:highlight w:val="none"/>
        </w:rPr>
        <w:t xml:space="preserve">项 目 编 号：</w:t>
      </w:r>
      <w:r/>
    </w:p>
    <w:p>
      <w:pPr>
        <w:ind w:firstLine="1084"/>
        <w:rPr>
          <w:rFonts w:ascii="宋体" w:hAnsi="宋体" w:cs="宋体"/>
          <w:b/>
          <w:sz w:val="36"/>
          <w:highlight w:val="none"/>
        </w:rPr>
      </w:pPr>
      <w:r>
        <w:rPr>
          <w:rFonts w:hint="eastAsia" w:ascii="宋体" w:hAnsi="宋体" w:cs="宋体"/>
          <w:b/>
          <w:sz w:val="36"/>
          <w:highlight w:val="none"/>
        </w:rPr>
        <w:t xml:space="preserve">投标人名称 ：</w:t>
      </w:r>
      <w:r/>
    </w:p>
    <w:p>
      <w:pPr>
        <w:ind w:firstLine="1084"/>
        <w:rPr>
          <w:rFonts w:ascii="宋体" w:hAnsi="宋体" w:cs="宋体"/>
          <w:b/>
          <w:sz w:val="36"/>
          <w:highlight w:val="none"/>
          <w:u w:val="single"/>
        </w:rPr>
      </w:pPr>
      <w:r>
        <w:rPr>
          <w:rFonts w:hint="eastAsia" w:ascii="宋体" w:hAnsi="宋体" w:cs="宋体"/>
          <w:b/>
          <w:sz w:val="36"/>
          <w:highlight w:val="none"/>
        </w:rPr>
        <w:t xml:space="preserve">日      期 ：</w:t>
      </w:r>
      <w:r/>
    </w:p>
    <w:p>
      <w:pPr>
        <w:ind w:left="343" w:hanging="343"/>
        <w:rPr>
          <w:rFonts w:ascii="宋体" w:hAnsi="宋体" w:cs="宋体"/>
          <w:b/>
          <w:sz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sz w:val="36"/>
          <w:highlight w:val="none"/>
        </w:rPr>
      </w:r>
      <w:r/>
    </w:p>
    <w:p>
      <w:pPr>
        <w:ind w:left="267" w:hanging="267"/>
        <w:spacing w:line="360" w:lineRule="auto"/>
        <w:rPr>
          <w:rFonts w:ascii="宋体" w:hAnsi="宋体" w:cs="宋体"/>
          <w:sz w:val="28"/>
          <w:szCs w:val="28"/>
          <w:highlight w:val="none"/>
        </w:rPr>
        <w:outlineLvl w:val="2"/>
      </w:pPr>
      <w:r>
        <w:rPr>
          <w:rFonts w:hint="eastAsia" w:ascii="宋体" w:hAnsi="宋体" w:cs="宋体"/>
          <w:b/>
          <w:sz w:val="28"/>
          <w:szCs w:val="28"/>
          <w:highlight w:val="none"/>
        </w:rPr>
        <w:t xml:space="preserve">一、资格证明文件</w:t>
      </w:r>
      <w:r/>
    </w:p>
    <w:p>
      <w:pPr>
        <w:ind w:left="228" w:hanging="228"/>
        <w:spacing w:line="360" w:lineRule="auto"/>
        <w:rPr>
          <w:rFonts w:ascii="宋体" w:hAnsi="宋体" w:cs="宋体"/>
          <w:sz w:val="24"/>
          <w:szCs w:val="20"/>
          <w:highlight w:val="none"/>
        </w:rPr>
        <w:outlineLvl w:val="2"/>
      </w:pPr>
      <w:r>
        <w:rPr>
          <w:rFonts w:hint="eastAsia" w:ascii="宋体" w:hAnsi="宋体" w:cs="宋体"/>
          <w:sz w:val="24"/>
          <w:szCs w:val="20"/>
          <w:highlight w:val="none"/>
        </w:rPr>
        <w:t xml:space="preserve">1 </w:t>
      </w:r>
      <w:r>
        <w:rPr>
          <w:rFonts w:hint="eastAsia" w:ascii="宋体" w:hAnsi="宋体" w:cs="宋体"/>
          <w:sz w:val="24"/>
          <w:highlight w:val="none"/>
        </w:rPr>
        <w:t xml:space="preserve">满足《中华人民共和国政府采购法》第二十二条规定及法律法规的其他规定</w:t>
      </w:r>
      <w:r/>
    </w:p>
    <w:p>
      <w:pPr>
        <w:contextualSpacing/>
        <w:ind w:left="228" w:hanging="228"/>
        <w:spacing w:line="360" w:lineRule="auto"/>
        <w:rPr>
          <w:rFonts w:ascii="宋体" w:hAnsi="宋体" w:cs="宋体"/>
          <w:bCs/>
          <w:sz w:val="24"/>
          <w:highlight w:val="none"/>
        </w:rPr>
      </w:pPr>
      <w:r>
        <w:rPr>
          <w:rFonts w:hint="eastAsia" w:ascii="宋体" w:hAnsi="宋体" w:cs="宋体"/>
          <w:bCs/>
          <w:sz w:val="24"/>
          <w:highlight w:val="none"/>
        </w:rPr>
        <w:t xml:space="preserve">1-1投标人资格声明函（实质性格式）</w:t>
      </w:r>
      <w:r/>
    </w:p>
    <w:p>
      <w:pPr>
        <w:ind w:left="267" w:hanging="267"/>
        <w:jc w:val="center"/>
        <w:spacing w:line="360" w:lineRule="auto"/>
        <w:rPr>
          <w:rFonts w:ascii="宋体" w:hAnsi="宋体" w:cs="宋体"/>
          <w:b/>
          <w:sz w:val="28"/>
          <w:szCs w:val="28"/>
          <w:highlight w:val="none"/>
        </w:rPr>
      </w:pPr>
      <w:r>
        <w:rPr>
          <w:rFonts w:hint="eastAsia" w:ascii="宋体" w:hAnsi="宋体" w:cs="宋体"/>
          <w:b/>
          <w:sz w:val="28"/>
          <w:szCs w:val="28"/>
          <w:highlight w:val="none"/>
        </w:rPr>
        <w:t xml:space="preserve">投标人资格声明函</w:t>
      </w:r>
      <w:r/>
    </w:p>
    <w:p>
      <w:pPr>
        <w:contextualSpacing/>
        <w:ind w:left="228" w:hanging="228"/>
        <w:spacing w:line="360" w:lineRule="auto"/>
        <w:rPr>
          <w:rFonts w:ascii="宋体" w:hAnsi="宋体" w:cs="宋体"/>
          <w:bCs/>
          <w:sz w:val="24"/>
          <w:highlight w:val="none"/>
        </w:rPr>
      </w:pPr>
      <w:r>
        <w:rPr>
          <w:rFonts w:hint="eastAsia" w:ascii="宋体" w:hAnsi="宋体" w:cs="宋体"/>
          <w:bCs/>
          <w:sz w:val="24"/>
          <w:highlight w:val="none"/>
        </w:rPr>
        <w:t xml:space="preserve">致：常州金诚招投标有限公司</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（采购人名称）</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按照《中华人民共和国政府采购法》第二十二条和招标文件的规定，我单位郑重声明如下：</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一、我单位是按照中华人民共和国法律规定登记注册的，注册地点为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，全称为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，统一社会信用代码为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，法定代表人（单位负责人）为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，具有独立承担民事责任的能力</w:t>
      </w:r>
      <w:r>
        <w:rPr>
          <w:rFonts w:hint="eastAsia" w:ascii="宋体" w:hAnsi="宋体" w:cs="宋体"/>
          <w:b/>
          <w:sz w:val="24"/>
          <w:highlight w:val="none"/>
        </w:rPr>
        <w:t xml:space="preserve">（如属于分公司经总公司授权参与项目，由总公司承担民事责任的，需提供总公司项目授权书）</w:t>
      </w:r>
      <w:r>
        <w:rPr>
          <w:rFonts w:hint="eastAsia" w:ascii="宋体" w:hAnsi="宋体" w:cs="宋体"/>
          <w:bCs/>
          <w:sz w:val="24"/>
          <w:highlight w:val="none"/>
        </w:rPr>
        <w:t xml:space="preserve">。</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二、我单位具有良好的商业信誉（指投标人经营状况良好，无本资格声明第十条情形）和健全的财务会计制度。</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三、我单位依法进行纳税和社会保险申报并实际履行了义务。</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四、我单位具有履行本项目采购合同所必需的设备和专业技术能力，并具有履行合同的良好记录。为履行本项采购合同我单位具备如下主要设备和主要专业技术能力:</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主要设备有：</w:t>
      </w:r>
      <w:r>
        <w:rPr>
          <w:rFonts w:hint="eastAsia" w:ascii="宋体" w:hAnsi="宋体" w:cs="宋体"/>
          <w:bCs/>
          <w:sz w:val="24"/>
          <w:highlight w:val="none"/>
          <w:u w:val="single"/>
        </w:rPr>
        <w:t xml:space="preserve">      </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主要专业技术能力有：</w:t>
      </w:r>
      <w:r>
        <w:rPr>
          <w:rFonts w:hint="eastAsia" w:ascii="宋体" w:hAnsi="宋体" w:cs="宋体"/>
          <w:bCs/>
          <w:sz w:val="24"/>
          <w:highlight w:val="none"/>
          <w:u w:val="single"/>
        </w:rPr>
        <w:t xml:space="preserve">      </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六、我单位具备法律、行政法规规定的其他条件。</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七、与我单位存在“单位负责人为同一人或者存在直接控股、管理关系”的其他单位信息如下（如无此情形的，填写“无”）：</w:t>
      </w:r>
      <w:r/>
    </w:p>
    <w:p>
      <w:pPr>
        <w:contextualSpacing/>
        <w:ind w:firstLine="480"/>
        <w:spacing w:line="360" w:lineRule="auto"/>
        <w:rPr>
          <w:rFonts w:ascii="宋体" w:hAnsi="宋体" w:cs="宋体"/>
          <w:bCs/>
          <w:sz w:val="24"/>
          <w:highlight w:val="none"/>
          <w:u w:val="single"/>
        </w:rPr>
      </w:pPr>
      <w:r>
        <w:rPr>
          <w:rFonts w:hint="eastAsia" w:ascii="宋体" w:hAnsi="宋体" w:cs="宋体"/>
          <w:bCs/>
          <w:sz w:val="24"/>
          <w:highlight w:val="none"/>
        </w:rPr>
        <w:t xml:space="preserve">1、与我单位的法定代表人（单位负责人）为同一人的其他单位如下：</w:t>
      </w:r>
      <w:r>
        <w:rPr>
          <w:rFonts w:hint="eastAsia" w:ascii="宋体" w:hAnsi="宋体" w:cs="宋体"/>
          <w:bCs/>
          <w:sz w:val="24"/>
          <w:highlight w:val="none"/>
          <w:u w:val="single"/>
        </w:rPr>
        <w:t xml:space="preserve">      </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2、我单位直接控股的其他单位如下：</w:t>
      </w:r>
      <w:r>
        <w:rPr>
          <w:rFonts w:hint="eastAsia" w:ascii="宋体" w:hAnsi="宋体" w:cs="宋体"/>
          <w:bCs/>
          <w:sz w:val="24"/>
          <w:highlight w:val="none"/>
          <w:u w:val="single"/>
        </w:rPr>
        <w:t xml:space="preserve">      </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3、与我单位存在管理关系的其他单位如下：</w:t>
      </w:r>
      <w:r>
        <w:rPr>
          <w:rFonts w:hint="eastAsia" w:ascii="宋体" w:hAnsi="宋体" w:cs="宋体"/>
          <w:bCs/>
          <w:sz w:val="24"/>
          <w:highlight w:val="none"/>
          <w:u w:val="single"/>
        </w:rPr>
        <w:t xml:space="preserve">      </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八、我单位不属于为本项目提供整体设计、规范编制或者项目管理、监理、检测等服务的投标人。</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九、我单位无以下不良信用记录情形：</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1、在“信用中国”网站被列入失信被执行人和重大税收违法案件当事人名单；</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2、在“中国政府采购网”网站被列入政府采购严重违法失信行为记录名单；</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3、不符合《政府采购法》第二十二条规定的条件。</w:t>
      </w:r>
      <w:r/>
    </w:p>
    <w:p>
      <w:pPr>
        <w:contextualSpacing/>
        <w:ind w:firstLine="480"/>
        <w:spacing w:line="360" w:lineRule="auto"/>
        <w:rPr>
          <w:rFonts w:ascii="宋体" w:hAnsi="宋体" w:cs="宋体"/>
          <w:bCs/>
          <w:sz w:val="24"/>
          <w:highlight w:val="none"/>
        </w:rPr>
      </w:pPr>
      <w:r>
        <w:rPr>
          <w:rFonts w:ascii="宋体" w:hAnsi="宋体" w:cs="宋体"/>
          <w:bCs/>
          <w:sz w:val="24"/>
          <w:highlight w:val="none"/>
        </w:rPr>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我单位保证上述声明的事项都是真实的，如有虚假，我单位愿意承担相应的法律责任，并承担因此所造成的一切损失</w:t>
      </w:r>
      <w:r/>
    </w:p>
    <w:p>
      <w:pPr>
        <w:contextualSpacing/>
        <w:ind w:firstLine="480"/>
        <w:spacing w:line="360" w:lineRule="auto"/>
        <w:rPr>
          <w:rFonts w:ascii="宋体" w:hAnsi="宋体" w:cs="宋体"/>
          <w:bCs/>
          <w:sz w:val="24"/>
          <w:highlight w:val="none"/>
        </w:rPr>
      </w:pPr>
      <w:r>
        <w:rPr>
          <w:rFonts w:ascii="宋体" w:hAnsi="宋体" w:cs="宋体"/>
          <w:bCs/>
          <w:sz w:val="24"/>
          <w:highlight w:val="none"/>
        </w:rPr>
      </w:r>
      <w:r/>
    </w:p>
    <w:p>
      <w:pPr>
        <w:contextualSpacing/>
        <w:ind w:firstLine="480"/>
        <w:spacing w:line="360" w:lineRule="auto"/>
        <w:rPr>
          <w:rFonts w:ascii="宋体" w:hAnsi="宋体" w:cs="宋体"/>
          <w:bCs/>
          <w:sz w:val="24"/>
          <w:highlight w:val="none"/>
        </w:rPr>
      </w:pPr>
      <w:r>
        <w:rPr>
          <w:rFonts w:ascii="宋体" w:hAnsi="宋体" w:cs="宋体"/>
          <w:bCs/>
          <w:sz w:val="24"/>
          <w:highlight w:val="none"/>
        </w:rPr>
      </w:r>
      <w:r/>
    </w:p>
    <w:p>
      <w:pPr>
        <w:contextualSpacing/>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投标人：（加盖公章）</w:t>
      </w:r>
      <w:r/>
    </w:p>
    <w:p>
      <w:pPr>
        <w:contextualSpacing/>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法定代表人（或单位负责人）签字或盖章：</w:t>
      </w:r>
      <w:r/>
    </w:p>
    <w:p>
      <w:pPr>
        <w:contextualSpacing/>
        <w:ind w:firstLine="480"/>
        <w:jc w:val="left"/>
        <w:spacing w:line="360" w:lineRule="auto"/>
        <w:rPr>
          <w:rFonts w:ascii="宋体" w:hAnsi="宋体" w:cs="宋体"/>
          <w:bCs/>
          <w:sz w:val="24"/>
          <w:highlight w:val="none"/>
        </w:rPr>
      </w:pPr>
      <w:r>
        <w:rPr>
          <w:rFonts w:hint="eastAsia" w:ascii="宋体" w:hAnsi="宋体" w:cs="宋体"/>
          <w:bCs/>
          <w:sz w:val="24"/>
          <w:highlight w:val="none"/>
        </w:rPr>
        <w:t xml:space="preserve">日期：    年    月    日</w:t>
      </w:r>
      <w:r/>
    </w:p>
    <w:p>
      <w:pPr>
        <w:contextualSpacing/>
        <w:ind w:firstLine="480"/>
        <w:spacing w:line="360" w:lineRule="auto"/>
        <w:rPr>
          <w:rFonts w:ascii="宋体" w:hAnsi="宋体" w:cs="宋体"/>
          <w:bCs/>
          <w:sz w:val="24"/>
          <w:highlight w:val="none"/>
        </w:rPr>
      </w:pPr>
      <w:r>
        <w:rPr>
          <w:rFonts w:ascii="宋体" w:hAnsi="宋体" w:cs="宋体"/>
          <w:bCs/>
          <w:sz w:val="24"/>
          <w:highlight w:val="none"/>
        </w:rPr>
      </w:r>
      <w:r/>
    </w:p>
    <w:p>
      <w:pPr>
        <w:contextualSpacing/>
        <w:ind w:firstLine="480"/>
        <w:spacing w:line="360" w:lineRule="auto"/>
        <w:rPr>
          <w:rFonts w:ascii="宋体" w:hAnsi="宋体" w:cs="宋体"/>
          <w:bCs/>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highlight w:val="none"/>
        </w:rPr>
        <w:t xml:space="preserve">说明：投标人承诺不实的，依据《政府采购法》第七十七条“提供虚假材料谋取中标、成交的”有关规定予以处理。</w:t>
      </w:r>
      <w:r/>
    </w:p>
    <w:p>
      <w:pPr>
        <w:ind w:left="228" w:hanging="228"/>
        <w:jc w:val="left"/>
        <w:spacing w:line="360" w:lineRule="auto"/>
        <w:widowControl/>
        <w:rPr>
          <w:rFonts w:ascii="宋体" w:hAnsi="宋体" w:cs="宋体"/>
          <w:sz w:val="24"/>
          <w:szCs w:val="20"/>
          <w:highlight w:val="none"/>
        </w:rPr>
      </w:pPr>
      <w:r>
        <w:rPr>
          <w:rFonts w:hint="eastAsia" w:ascii="宋体" w:hAnsi="宋体" w:cs="宋体"/>
          <w:sz w:val="24"/>
          <w:szCs w:val="20"/>
          <w:highlight w:val="none"/>
        </w:rPr>
        <w:t xml:space="preserve">1-2 营业执照（实质性格式）</w:t>
      </w:r>
      <w:r/>
    </w:p>
    <w:p>
      <w:pPr>
        <w:contextualSpacing/>
        <w:ind w:firstLine="480"/>
        <w:spacing w:line="360" w:lineRule="auto"/>
        <w:rPr>
          <w:rFonts w:ascii="宋体" w:hAnsi="宋体" w:cs="宋体"/>
          <w:bCs/>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highlight w:val="none"/>
        </w:rPr>
        <w:t xml:space="preserve">投标人为法人或者其他组织的营业执照等证明文件</w:t>
      </w:r>
      <w:r>
        <w:rPr>
          <w:rFonts w:hint="eastAsia" w:ascii="宋体" w:hAnsi="宋体" w:cs="宋体"/>
          <w:sz w:val="24"/>
          <w:highlight w:val="none"/>
        </w:rPr>
        <w:t xml:space="preserve">扫描件</w:t>
      </w:r>
      <w:r>
        <w:rPr>
          <w:rFonts w:hint="eastAsia" w:ascii="宋体" w:hAnsi="宋体" w:cs="宋体"/>
          <w:bCs/>
          <w:sz w:val="24"/>
          <w:highlight w:val="none"/>
        </w:rPr>
        <w:t xml:space="preserve">加盖公章，投标人为自然人提供营业执照（如有）及身份证明</w:t>
      </w:r>
      <w:r>
        <w:rPr>
          <w:rFonts w:hint="eastAsia" w:ascii="宋体" w:hAnsi="宋体" w:cs="宋体"/>
          <w:sz w:val="24"/>
          <w:highlight w:val="none"/>
        </w:rPr>
        <w:t xml:space="preserve">扫描件</w:t>
      </w:r>
      <w:r>
        <w:rPr>
          <w:rFonts w:hint="eastAsia" w:ascii="宋体" w:hAnsi="宋体" w:cs="宋体"/>
          <w:bCs/>
          <w:sz w:val="24"/>
          <w:highlight w:val="none"/>
        </w:rPr>
        <w:t xml:space="preserve">加盖公章（双面）。</w:t>
      </w:r>
      <w:r/>
    </w:p>
    <w:p>
      <w:pPr>
        <w:spacing w:line="360" w:lineRule="auto"/>
        <w:rPr>
          <w:sz w:val="24"/>
          <w:szCs w:val="20"/>
          <w:highlight w:val="none"/>
        </w:rPr>
        <w:outlineLvl w:val="2"/>
      </w:pPr>
      <w:r>
        <w:rPr>
          <w:sz w:val="24"/>
          <w:szCs w:val="20"/>
          <w:highlight w:val="none"/>
        </w:rPr>
        <w:t xml:space="preserve">2 落实政府采购政策需满足的资格要求</w:t>
      </w:r>
      <w:r/>
    </w:p>
    <w:p>
      <w:pPr>
        <w:spacing w:line="360" w:lineRule="auto"/>
        <w:rPr>
          <w:sz w:val="24"/>
          <w:szCs w:val="20"/>
          <w:highlight w:val="none"/>
        </w:rPr>
        <w:outlineLvl w:val="2"/>
      </w:pPr>
      <w:r>
        <w:rPr>
          <w:sz w:val="24"/>
          <w:szCs w:val="20"/>
          <w:highlight w:val="none"/>
        </w:rPr>
        <w:t xml:space="preserve">2-1中小企业声明函</w:t>
      </w:r>
      <w:r/>
    </w:p>
    <w:p>
      <w:pPr>
        <w:spacing w:line="360" w:lineRule="auto"/>
        <w:tabs>
          <w:tab w:val="left" w:pos="5580" w:leader="none"/>
        </w:tabs>
        <w:rPr>
          <w:sz w:val="24"/>
          <w:highlight w:val="none"/>
        </w:rPr>
      </w:pPr>
      <w:r>
        <w:rPr>
          <w:sz w:val="24"/>
          <w:highlight w:val="none"/>
        </w:rPr>
      </w:r>
      <w:r/>
    </w:p>
    <w:p>
      <w:pPr>
        <w:spacing w:line="360" w:lineRule="auto"/>
        <w:tabs>
          <w:tab w:val="left" w:pos="5580" w:leader="none"/>
        </w:tabs>
        <w:rPr>
          <w:sz w:val="24"/>
          <w:highlight w:val="none"/>
        </w:rPr>
      </w:pPr>
      <w:r>
        <w:rPr>
          <w:sz w:val="24"/>
          <w:highlight w:val="none"/>
        </w:rPr>
        <w:t xml:space="preserve">说明：</w:t>
      </w:r>
      <w:r/>
    </w:p>
    <w:p>
      <w:pPr>
        <w:spacing w:line="360" w:lineRule="auto"/>
        <w:tabs>
          <w:tab w:val="left" w:pos="5580" w:leader="none"/>
        </w:tabs>
        <w:rPr>
          <w:sz w:val="24"/>
          <w:highlight w:val="none"/>
        </w:rPr>
      </w:pPr>
      <w:r>
        <w:rPr>
          <w:sz w:val="24"/>
          <w:highlight w:val="none"/>
        </w:rPr>
        <w:t xml:space="preserve">（1）如本项目（包）不专门面向中小企业预留采购份额，</w:t>
      </w:r>
      <w:r>
        <w:rPr>
          <w:rFonts w:hint="eastAsia"/>
          <w:sz w:val="24"/>
          <w:highlight w:val="none"/>
        </w:rPr>
        <w:t xml:space="preserve">资格证明文件部分</w:t>
      </w:r>
      <w:r>
        <w:rPr>
          <w:sz w:val="24"/>
          <w:highlight w:val="none"/>
        </w:rPr>
        <w:t xml:space="preserve">无需提供《中小企业声明函》。</w:t>
      </w:r>
      <w:r/>
    </w:p>
    <w:p>
      <w:pPr>
        <w:spacing w:line="360" w:lineRule="auto"/>
        <w:tabs>
          <w:tab w:val="left" w:pos="5580" w:leader="none"/>
        </w:tabs>
        <w:rPr>
          <w:sz w:val="24"/>
          <w:highlight w:val="none"/>
        </w:rPr>
      </w:pPr>
      <w:r>
        <w:rPr>
          <w:sz w:val="24"/>
          <w:highlight w:val="none"/>
        </w:rPr>
        <w:t xml:space="preserve">（2）如本项目（包）专门面向中小/小微企业采购，须提供《中小企业声明函》</w:t>
      </w:r>
      <w:r>
        <w:rPr>
          <w:sz w:val="24"/>
          <w:szCs w:val="20"/>
          <w:highlight w:val="none"/>
        </w:rPr>
        <w:t xml:space="preserve">（实质性格式）</w:t>
      </w:r>
      <w:r>
        <w:rPr>
          <w:sz w:val="24"/>
          <w:highlight w:val="none"/>
        </w:rPr>
        <w:t xml:space="preserve">。</w:t>
      </w:r>
      <w:r/>
    </w:p>
    <w:p>
      <w:pPr>
        <w:spacing w:line="360" w:lineRule="auto"/>
        <w:tabs>
          <w:tab w:val="left" w:pos="5580" w:leader="none"/>
        </w:tabs>
        <w:rPr>
          <w:sz w:val="24"/>
          <w:highlight w:val="none"/>
        </w:rPr>
      </w:pPr>
      <w:r>
        <w:rPr>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highlight w:val="none"/>
        </w:rPr>
      </w:pPr>
      <w:r>
        <w:rPr>
          <w:rFonts w:hint="eastAsia"/>
          <w:sz w:val="24"/>
          <w:highlight w:val="none"/>
        </w:rPr>
        <w:t xml:space="preserve">（4）其他</w:t>
      </w:r>
      <w:r/>
    </w:p>
    <w:p>
      <w:pPr>
        <w:spacing w:line="360" w:lineRule="auto"/>
        <w:tabs>
          <w:tab w:val="left" w:pos="5580" w:leader="none"/>
        </w:tabs>
        <w:rPr>
          <w:sz w:val="24"/>
          <w:highlight w:val="none"/>
        </w:rPr>
      </w:pPr>
      <w:r>
        <w:rPr>
          <w:rFonts w:hint="eastAsia"/>
          <w:sz w:val="24"/>
          <w:highlight w:val="none"/>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highlight w:val="none"/>
        </w:rPr>
      </w:pPr>
      <w:r>
        <w:rPr>
          <w:rFonts w:hint="eastAsia"/>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highlight w:val="none"/>
        </w:rPr>
      </w:pPr>
      <w:r>
        <w:rPr>
          <w:rFonts w:hint="eastAsia"/>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sz w:val="24"/>
          <w:highlight w:val="none"/>
        </w:rPr>
      </w:pPr>
      <w:r>
        <w:rPr>
          <w:rFonts w:hint="eastAsia"/>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sz w:val="24"/>
          <w:highlight w:val="none"/>
        </w:rPr>
      </w:pPr>
      <w:r>
        <w:rPr>
          <w:sz w:val="24"/>
          <w:highlight w:val="none"/>
        </w:rPr>
      </w:r>
      <w:r/>
    </w:p>
    <w:p>
      <w:pPr>
        <w:pStyle w:val="1000"/>
        <w:rPr>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highlight w:val="none"/>
        </w:rPr>
      </w:r>
      <w:r/>
    </w:p>
    <w:p>
      <w:pPr>
        <w:jc w:val="center"/>
        <w:spacing w:before="312" w:after="312" w:line="360" w:lineRule="auto"/>
        <w:rPr>
          <w:b/>
          <w:bCs/>
          <w:sz w:val="36"/>
          <w:szCs w:val="36"/>
          <w:highlight w:val="none"/>
        </w:rPr>
      </w:pPr>
      <w:r>
        <w:rPr>
          <w:rFonts w:hint="eastAsia"/>
          <w:b/>
          <w:bCs/>
          <w:sz w:val="36"/>
          <w:szCs w:val="36"/>
          <w:highlight w:val="none"/>
        </w:rPr>
        <w:t xml:space="preserve">中小企业声明函（工程、服务）格式</w:t>
      </w:r>
      <w:r/>
    </w:p>
    <w:p>
      <w:pPr>
        <w:ind w:firstLine="504"/>
        <w:spacing w:line="360" w:lineRule="auto"/>
        <w:rPr>
          <w:spacing w:val="6"/>
          <w:sz w:val="24"/>
          <w:highlight w:val="none"/>
        </w:rPr>
      </w:pPr>
      <w:r>
        <w:rPr>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spacing w:val="6"/>
          <w:sz w:val="24"/>
          <w:highlight w:val="none"/>
        </w:rPr>
      </w:pPr>
      <w:r>
        <w:rPr>
          <w:spacing w:val="6"/>
          <w:sz w:val="24"/>
          <w:highlight w:val="none"/>
        </w:rPr>
        <w:t xml:space="preserve">1.</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w:t>
      </w:r>
      <w:r>
        <w:rPr>
          <w:spacing w:val="6"/>
          <w:sz w:val="24"/>
          <w:highlight w:val="none"/>
          <w:vertAlign w:val="superscript"/>
        </w:rPr>
        <w:t xml:space="preserve">1</w:t>
      </w:r>
      <w:r>
        <w:rPr>
          <w:spacing w:val="6"/>
          <w:sz w:val="24"/>
          <w:highlight w:val="none"/>
        </w:rPr>
        <w:t xml:space="preserve">，属于（中型企业、小型企业、微型企业）；</w:t>
      </w:r>
      <w:r/>
    </w:p>
    <w:p>
      <w:pPr>
        <w:ind w:firstLine="504"/>
        <w:spacing w:line="360" w:lineRule="auto"/>
        <w:rPr>
          <w:spacing w:val="6"/>
          <w:sz w:val="24"/>
          <w:highlight w:val="none"/>
        </w:rPr>
      </w:pPr>
      <w:r>
        <w:rPr>
          <w:spacing w:val="6"/>
          <w:sz w:val="24"/>
          <w:highlight w:val="none"/>
        </w:rPr>
        <w:t xml:space="preserve">2.</w:t>
      </w:r>
      <w:r>
        <w:rPr>
          <w:spacing w:val="6"/>
          <w:sz w:val="24"/>
          <w:highlight w:val="none"/>
          <w:u w:val="single"/>
        </w:rPr>
        <w:t xml:space="preserve">（标的名称）</w:t>
      </w:r>
      <w:r>
        <w:rPr>
          <w:spacing w:val="6"/>
          <w:sz w:val="24"/>
          <w:highlight w:val="none"/>
        </w:rPr>
        <w:t xml:space="preserve">，属于</w:t>
      </w:r>
      <w:r>
        <w:rPr>
          <w:spacing w:val="6"/>
          <w:sz w:val="24"/>
          <w:highlight w:val="none"/>
          <w:u w:val="single"/>
        </w:rPr>
        <w:t xml:space="preserve">（采购文件中明确的所属行业）</w:t>
      </w:r>
      <w:r>
        <w:rPr>
          <w:spacing w:val="6"/>
          <w:sz w:val="24"/>
          <w:highlight w:val="none"/>
        </w:rPr>
        <w:t xml:space="preserve">行业；承建（承接）企业为</w:t>
      </w:r>
      <w:r>
        <w:rPr>
          <w:spacing w:val="6"/>
          <w:sz w:val="24"/>
          <w:highlight w:val="none"/>
          <w:u w:val="single"/>
        </w:rPr>
        <w:t xml:space="preserve">（企业名称）</w:t>
      </w:r>
      <w:r>
        <w:rPr>
          <w:spacing w:val="6"/>
          <w:sz w:val="24"/>
          <w:highlight w:val="none"/>
        </w:rPr>
        <w:t xml:space="preserve">，从业人员______人，营业收入为______万元，资产总额为______万元，属于</w:t>
      </w:r>
      <w:r>
        <w:rPr>
          <w:spacing w:val="6"/>
          <w:sz w:val="24"/>
          <w:highlight w:val="none"/>
          <w:u w:val="single"/>
        </w:rPr>
        <w:t xml:space="preserve">（中型企业、小型企业、微型企业）</w:t>
      </w:r>
      <w:r>
        <w:rPr>
          <w:spacing w:val="6"/>
          <w:sz w:val="24"/>
          <w:highlight w:val="none"/>
        </w:rPr>
        <w:t xml:space="preserve">；</w:t>
      </w:r>
      <w:r/>
    </w:p>
    <w:p>
      <w:pPr>
        <w:ind w:firstLine="504"/>
        <w:spacing w:line="360" w:lineRule="auto"/>
        <w:rPr>
          <w:spacing w:val="6"/>
          <w:sz w:val="24"/>
          <w:highlight w:val="none"/>
        </w:rPr>
      </w:pPr>
      <w:r>
        <w:rPr>
          <w:spacing w:val="6"/>
          <w:sz w:val="24"/>
          <w:highlight w:val="none"/>
        </w:rPr>
      </w:r>
      <w:r/>
    </w:p>
    <w:p>
      <w:pPr>
        <w:ind w:firstLine="504"/>
        <w:spacing w:line="360" w:lineRule="auto"/>
        <w:rPr>
          <w:spacing w:val="6"/>
          <w:sz w:val="24"/>
          <w:highlight w:val="none"/>
        </w:rPr>
      </w:pPr>
      <w:r>
        <w:rPr>
          <w:spacing w:val="6"/>
          <w:sz w:val="24"/>
          <w:highlight w:val="none"/>
        </w:rPr>
        <w:t xml:space="preserve">……</w:t>
      </w:r>
      <w:r/>
    </w:p>
    <w:p>
      <w:pPr>
        <w:ind w:firstLine="504"/>
        <w:spacing w:line="360" w:lineRule="auto"/>
        <w:rPr>
          <w:spacing w:val="6"/>
          <w:sz w:val="24"/>
          <w:highlight w:val="none"/>
        </w:rPr>
      </w:pPr>
      <w:r>
        <w:rPr>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spacing w:val="6"/>
          <w:sz w:val="24"/>
          <w:highlight w:val="none"/>
        </w:rPr>
      </w:pPr>
      <w:r>
        <w:rPr>
          <w:spacing w:val="6"/>
          <w:sz w:val="24"/>
          <w:highlight w:val="none"/>
        </w:rPr>
        <w:t xml:space="preserve">本企业对上述声明内容的真实性负责。如有虚假，将依法承担相应责任。</w:t>
      </w:r>
      <w:r/>
    </w:p>
    <w:p>
      <w:pPr>
        <w:ind w:right="360" w:firstLine="480"/>
        <w:jc w:val="right"/>
        <w:spacing w:line="360" w:lineRule="auto"/>
        <w:rPr>
          <w:sz w:val="24"/>
          <w:highlight w:val="none"/>
        </w:rPr>
      </w:pPr>
      <w:r>
        <w:rPr>
          <w:sz w:val="24"/>
          <w:highlight w:val="none"/>
        </w:rPr>
      </w:r>
      <w:r/>
    </w:p>
    <w:p>
      <w:pPr>
        <w:ind w:right="360" w:firstLine="480"/>
        <w:jc w:val="right"/>
        <w:spacing w:line="360" w:lineRule="auto"/>
        <w:rPr>
          <w:sz w:val="24"/>
          <w:highlight w:val="none"/>
        </w:rPr>
      </w:pPr>
      <w:r>
        <w:rPr>
          <w:sz w:val="24"/>
          <w:highlight w:val="none"/>
        </w:rPr>
        <w:t xml:space="preserve">企业名称（加盖公章）：________</w:t>
      </w:r>
      <w:r/>
    </w:p>
    <w:p>
      <w:pPr>
        <w:ind w:right="360" w:firstLine="480"/>
        <w:jc w:val="right"/>
        <w:spacing w:line="360" w:lineRule="auto"/>
        <w:rPr>
          <w:sz w:val="24"/>
          <w:highlight w:val="none"/>
        </w:rPr>
      </w:pPr>
      <w:r>
        <w:rPr>
          <w:sz w:val="24"/>
          <w:highlight w:val="none"/>
        </w:rPr>
        <w:t xml:space="preserve">日 期：________</w:t>
      </w:r>
      <w:r/>
    </w:p>
    <w:p>
      <w:pPr>
        <w:jc w:val="left"/>
        <w:rPr>
          <w:sz w:val="24"/>
          <w:szCs w:val="21"/>
          <w:highlight w:val="none"/>
        </w:rPr>
      </w:pPr>
      <w:r>
        <w:rPr>
          <w:sz w:val="24"/>
          <w:szCs w:val="21"/>
          <w:highlight w:val="none"/>
        </w:rPr>
      </w:r>
      <w:r/>
    </w:p>
    <w:p>
      <w:pPr>
        <w:jc w:val="left"/>
        <w:rPr>
          <w:sz w:val="24"/>
          <w:szCs w:val="21"/>
          <w:highlight w:val="none"/>
        </w:rPr>
      </w:pPr>
      <w:r>
        <w:rPr>
          <w:sz w:val="24"/>
          <w:szCs w:val="21"/>
          <w:highlight w:val="none"/>
        </w:rPr>
      </w:r>
      <w:r/>
    </w:p>
    <w:tbl>
      <w:tblPr>
        <w:tblStyle w:val="99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946" w:type="dxa"/>
            <w:textDirection w:val="lrTb"/>
            <w:noWrap w:val="false"/>
          </w:tcPr>
          <w:p>
            <w:pPr>
              <w:jc w:val="left"/>
              <w:rPr>
                <w:szCs w:val="21"/>
                <w:highlight w:val="none"/>
              </w:rPr>
            </w:pPr>
            <w:r>
              <w:rPr>
                <w:szCs w:val="21"/>
                <w:highlight w:val="none"/>
                <w:vertAlign w:val="superscript"/>
              </w:rPr>
              <w:t xml:space="preserve">1</w:t>
            </w:r>
            <w:r>
              <w:rPr>
                <w:szCs w:val="21"/>
                <w:highlight w:val="none"/>
              </w:rPr>
              <w:t xml:space="preserve">从业人员、营业收入、资产总额填报上一年度数据，无上一年度数据的新成立企业可不填报。</w:t>
            </w:r>
            <w:r/>
          </w:p>
        </w:tc>
      </w:tr>
    </w:tbl>
    <w:p>
      <w:pPr>
        <w:rPr>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highlight w:val="none"/>
        </w:rPr>
      </w:r>
      <w:r/>
    </w:p>
    <w:p>
      <w:pPr>
        <w:spacing w:line="360" w:lineRule="auto"/>
        <w:rPr>
          <w:rFonts w:hint="eastAsia" w:ascii="宋体" w:hAnsi="宋体" w:eastAsia="宋体" w:cs="宋体"/>
          <w:color w:val="auto"/>
          <w:sz w:val="24"/>
          <w:szCs w:val="20"/>
          <w:highlight w:val="none"/>
          <w:lang w:val="en-US" w:eastAsia="zh-CN"/>
        </w:rPr>
        <w:outlineLvl w:val="2"/>
      </w:pPr>
      <w:r>
        <w:rPr>
          <w:rFonts w:hint="eastAsia" w:ascii="宋体" w:hAnsi="宋体" w:eastAsia="宋体" w:cs="宋体"/>
          <w:color w:val="auto"/>
          <w:sz w:val="24"/>
          <w:szCs w:val="20"/>
          <w:highlight w:val="none"/>
          <w:lang w:val="en-US" w:eastAsia="zh-CN"/>
        </w:rPr>
        <w:t xml:space="preserve">3本项目特定资格要求</w:t>
      </w:r>
      <w:r/>
    </w:p>
    <w:p>
      <w:pPr>
        <w:spacing w:line="360" w:lineRule="auto"/>
        <w:rPr>
          <w:rFonts w:hint="eastAsia" w:ascii="宋体" w:hAnsi="宋体" w:eastAsia="宋体" w:cs="宋体"/>
          <w:color w:val="auto"/>
          <w:sz w:val="24"/>
          <w:szCs w:val="20"/>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outlineLvl w:val="2"/>
      </w:pPr>
      <w:r>
        <w:rPr>
          <w:rFonts w:hint="eastAsia" w:ascii="宋体" w:hAnsi="宋体" w:eastAsia="宋体" w:cs="宋体"/>
          <w:color w:val="auto"/>
          <w:sz w:val="24"/>
          <w:szCs w:val="20"/>
          <w:highlight w:val="none"/>
          <w:lang w:val="en-US" w:eastAsia="zh-CN"/>
        </w:rPr>
        <w:t xml:space="preserve">3.3.1投标人环保信用等级在省级监测服务机构环保信用评价系统查询结果需为蓝色或绿色（或同等级别如B级（良）及以上），提供查询结果证明材料扫描件加盖公章。</w:t>
      </w:r>
      <w:r/>
    </w:p>
    <w:p>
      <w:pPr>
        <w:ind w:left="267" w:hanging="267"/>
        <w:spacing w:line="360" w:lineRule="auto"/>
        <w:rPr>
          <w:rFonts w:ascii="宋体" w:hAnsi="宋体" w:cs="宋体"/>
          <w:sz w:val="28"/>
          <w:szCs w:val="28"/>
          <w:highlight w:val="none"/>
        </w:rPr>
        <w:outlineLvl w:val="2"/>
      </w:pPr>
      <w:r>
        <w:rPr>
          <w:rFonts w:hint="eastAsia" w:ascii="宋体" w:hAnsi="宋体" w:cs="宋体"/>
          <w:b/>
          <w:sz w:val="28"/>
          <w:szCs w:val="28"/>
          <w:highlight w:val="none"/>
        </w:rPr>
        <w:t xml:space="preserve">二、商务技术文件格式</w:t>
      </w:r>
      <w:r/>
    </w:p>
    <w:p>
      <w:pPr>
        <w:ind w:left="228" w:hanging="228"/>
        <w:spacing w:line="360" w:lineRule="auto"/>
        <w:rPr>
          <w:rFonts w:ascii="宋体" w:hAnsi="宋体" w:cs="宋体"/>
          <w:sz w:val="24"/>
          <w:szCs w:val="20"/>
          <w:highlight w:val="none"/>
        </w:rPr>
        <w:outlineLvl w:val="2"/>
      </w:pPr>
      <w:r>
        <w:rPr>
          <w:rFonts w:hint="eastAsia" w:ascii="宋体" w:hAnsi="宋体" w:cs="宋体"/>
          <w:sz w:val="24"/>
          <w:highlight w:val="none"/>
        </w:rPr>
        <w:t xml:space="preserve">1 投标函</w:t>
      </w:r>
      <w:r>
        <w:rPr>
          <w:rFonts w:hint="eastAsia" w:ascii="宋体" w:hAnsi="宋体" w:cs="宋体"/>
          <w:sz w:val="24"/>
          <w:szCs w:val="20"/>
          <w:highlight w:val="none"/>
        </w:rPr>
        <w:t xml:space="preserve">（实质性格式）</w:t>
      </w:r>
      <w:r/>
    </w:p>
    <w:p>
      <w:pPr>
        <w:ind w:left="267" w:hanging="267"/>
        <w:jc w:val="center"/>
        <w:spacing w:line="360" w:lineRule="auto"/>
        <w:rPr>
          <w:rFonts w:ascii="宋体" w:hAnsi="宋体" w:cs="宋体"/>
          <w:b/>
          <w:sz w:val="28"/>
          <w:szCs w:val="28"/>
          <w:highlight w:val="none"/>
        </w:rPr>
      </w:pPr>
      <w:r>
        <w:rPr>
          <w:rFonts w:hint="eastAsia" w:ascii="宋体" w:hAnsi="宋体" w:cs="宋体"/>
          <w:b/>
          <w:sz w:val="28"/>
          <w:szCs w:val="28"/>
          <w:highlight w:val="none"/>
        </w:rPr>
        <w:t xml:space="preserve">投标函</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致：常州金诚招投标有限公司</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（采购人名称）</w:t>
      </w:r>
      <w:r/>
    </w:p>
    <w:p>
      <w:pPr>
        <w:ind w:left="228" w:hanging="228"/>
        <w:spacing w:line="360" w:lineRule="auto"/>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我方参加你方就___________（项目名称，项目编号）组织的招标活动，并对此项目进行投标。</w:t>
      </w:r>
      <w:r/>
    </w:p>
    <w:p>
      <w:pPr>
        <w:ind w:left="228" w:hanging="228"/>
        <w:spacing w:line="360" w:lineRule="auto"/>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1. 我方</w:t>
      </w:r>
      <w:r>
        <w:rPr>
          <w:rFonts w:hint="eastAsia" w:ascii="宋体" w:hAnsi="宋体" w:cs="宋体"/>
          <w:sz w:val="24"/>
          <w:highlight w:val="none"/>
        </w:rPr>
        <w:t xml:space="preserve">已详细审查全部招标文件</w:t>
      </w:r>
      <w:r>
        <w:rPr>
          <w:rFonts w:hint="eastAsia" w:ascii="宋体" w:hAnsi="宋体" w:cs="宋体"/>
          <w:sz w:val="24"/>
          <w:szCs w:val="20"/>
          <w:highlight w:val="none"/>
        </w:rPr>
        <w:t xml:space="preserve">，自愿参与投标并承诺如下：</w:t>
      </w:r>
      <w:r/>
    </w:p>
    <w:p>
      <w:pPr>
        <w:ind w:left="360" w:firstLine="72"/>
        <w:spacing w:line="360" w:lineRule="auto"/>
        <w:tabs>
          <w:tab w:val="left" w:pos="720" w:leader="none"/>
          <w:tab w:val="left" w:pos="900" w:leader="none"/>
        </w:tabs>
        <w:rPr>
          <w:rFonts w:ascii="宋体" w:hAnsi="宋体" w:cs="宋体"/>
          <w:sz w:val="24"/>
          <w:szCs w:val="20"/>
          <w:highlight w:val="none"/>
        </w:rPr>
      </w:pPr>
      <w:r>
        <w:rPr>
          <w:rFonts w:hint="eastAsia" w:ascii="宋体" w:hAnsi="宋体" w:cs="宋体"/>
          <w:sz w:val="24"/>
          <w:szCs w:val="20"/>
          <w:highlight w:val="none"/>
        </w:rPr>
        <w:t xml:space="preserve">（1）本投标有效期为自提交投标文件的截止之日起</w:t>
      </w:r>
      <w:r>
        <w:rPr>
          <w:rFonts w:hint="eastAsia" w:ascii="宋体" w:hAnsi="宋体" w:cs="宋体"/>
          <w:sz w:val="24"/>
          <w:highlight w:val="none"/>
        </w:rPr>
        <w:t xml:space="preserve">60</w:t>
      </w:r>
      <w:r>
        <w:rPr>
          <w:rFonts w:hint="eastAsia" w:ascii="宋体" w:hAnsi="宋体" w:cs="宋体"/>
          <w:sz w:val="24"/>
          <w:szCs w:val="20"/>
          <w:highlight w:val="none"/>
        </w:rPr>
        <w:t xml:space="preserve">个日历日。</w:t>
      </w:r>
      <w:r/>
    </w:p>
    <w:p>
      <w:pPr>
        <w:ind w:left="360" w:firstLine="72"/>
        <w:spacing w:line="360" w:lineRule="auto"/>
        <w:tabs>
          <w:tab w:val="left" w:pos="720" w:leader="none"/>
          <w:tab w:val="left" w:pos="900" w:leader="none"/>
        </w:tabs>
        <w:rPr>
          <w:rFonts w:ascii="宋体" w:hAnsi="宋体" w:cs="宋体"/>
          <w:sz w:val="24"/>
          <w:szCs w:val="20"/>
          <w:highlight w:val="none"/>
        </w:rPr>
      </w:pPr>
      <w:r>
        <w:rPr>
          <w:rFonts w:hint="eastAsia" w:ascii="宋体" w:hAnsi="宋体" w:cs="宋体"/>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宋体" w:hAnsi="宋体" w:cs="宋体"/>
          <w:sz w:val="24"/>
          <w:highlight w:val="none"/>
        </w:rPr>
      </w:pPr>
      <w:r>
        <w:rPr>
          <w:rFonts w:hint="eastAsia" w:ascii="宋体" w:hAnsi="宋体" w:cs="宋体"/>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228" w:hanging="228"/>
        <w:spacing w:line="360" w:lineRule="auto"/>
        <w:rPr>
          <w:rFonts w:ascii="宋体" w:hAnsi="宋体" w:cs="宋体"/>
          <w:sz w:val="24"/>
          <w:highlight w:val="none"/>
        </w:rPr>
      </w:pPr>
      <w:r>
        <w:rPr>
          <w:rFonts w:hint="eastAsia" w:ascii="宋体" w:hAnsi="宋体" w:cs="宋体"/>
          <w:sz w:val="24"/>
          <w:highlight w:val="none"/>
        </w:rPr>
        <w:t xml:space="preserve">2. 其他补充条款（如有）：</w:t>
      </w:r>
      <w:r>
        <w:rPr>
          <w:rFonts w:hint="eastAsia" w:ascii="宋体" w:hAnsi="宋体" w:cs="宋体"/>
          <w:sz w:val="24"/>
          <w:szCs w:val="20"/>
          <w:highlight w:val="none"/>
        </w:rPr>
        <w:t xml:space="preserve">___________</w:t>
      </w:r>
      <w:r>
        <w:rPr>
          <w:rFonts w:hint="eastAsia" w:ascii="宋体" w:hAnsi="宋体" w:cs="宋体"/>
          <w:sz w:val="24"/>
          <w:highlight w:val="none"/>
        </w:rPr>
        <w:t xml:space="preserve">。</w:t>
      </w:r>
      <w:r/>
    </w:p>
    <w:p>
      <w:pPr>
        <w:contextualSpacing/>
        <w:ind w:firstLine="480"/>
        <w:spacing w:line="360" w:lineRule="auto"/>
        <w:rPr>
          <w:rFonts w:ascii="宋体" w:hAnsi="宋体" w:cs="宋体"/>
          <w:bCs/>
          <w:sz w:val="24"/>
          <w:highlight w:val="none"/>
        </w:rPr>
      </w:pPr>
      <w:r>
        <w:rPr>
          <w:rFonts w:hint="eastAsia" w:ascii="宋体" w:hAnsi="宋体" w:cs="宋体"/>
          <w:sz w:val="24"/>
          <w:highlight w:val="none"/>
        </w:rPr>
        <w:t xml:space="preserve">与本投标有关的一切正式往来信函请寄：</w:t>
      </w:r>
      <w:r/>
    </w:p>
    <w:p>
      <w:pPr>
        <w:contextualSpacing/>
        <w:ind w:firstLine="480"/>
        <w:spacing w:line="360" w:lineRule="auto"/>
        <w:rPr>
          <w:rFonts w:ascii="宋体" w:hAnsi="宋体" w:cs="宋体"/>
          <w:bCs/>
          <w:sz w:val="24"/>
          <w:highlight w:val="none"/>
        </w:rPr>
      </w:pPr>
      <w:r>
        <w:rPr>
          <w:rFonts w:ascii="宋体" w:hAnsi="宋体" w:cs="宋体"/>
          <w:bCs/>
          <w:sz w:val="24"/>
          <w:highlight w:val="none"/>
        </w:rPr>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地址_________________________</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传真_________________________</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电话_________________________</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电子函件_____________________</w:t>
      </w:r>
      <w:r/>
    </w:p>
    <w:p>
      <w:pPr>
        <w:contextualSpacing/>
        <w:ind w:firstLine="480"/>
        <w:spacing w:line="360" w:lineRule="auto"/>
        <w:rPr>
          <w:rFonts w:ascii="宋体" w:hAnsi="宋体" w:cs="宋体"/>
          <w:bCs/>
          <w:sz w:val="24"/>
          <w:highlight w:val="none"/>
        </w:rPr>
      </w:pPr>
      <w:r>
        <w:rPr>
          <w:rFonts w:ascii="宋体" w:hAnsi="宋体" w:cs="宋体"/>
          <w:bCs/>
          <w:sz w:val="24"/>
          <w:highlight w:val="none"/>
        </w:rPr>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投标名称（加盖公章） ___________</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日期：_____年______月______日    </w:t>
      </w:r>
      <w:r/>
    </w:p>
    <w:p>
      <w:pPr>
        <w:contextualSpacing/>
        <w:ind w:left="228" w:hanging="228"/>
        <w:spacing w:line="360" w:lineRule="auto"/>
        <w:rPr>
          <w:rFonts w:ascii="宋体" w:hAnsi="宋体" w:cs="宋体"/>
          <w:bCs/>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sz w:val="24"/>
          <w:highlight w:val="none"/>
        </w:rPr>
      </w:r>
      <w:r/>
    </w:p>
    <w:p>
      <w:pPr>
        <w:ind w:left="228" w:hanging="228"/>
        <w:spacing w:line="360" w:lineRule="auto"/>
        <w:rPr>
          <w:rFonts w:ascii="宋体" w:hAnsi="宋体" w:cs="宋体"/>
          <w:sz w:val="24"/>
          <w:highlight w:val="none"/>
        </w:rPr>
        <w:outlineLvl w:val="2"/>
      </w:pPr>
      <w:r>
        <w:rPr>
          <w:rFonts w:hint="eastAsia" w:ascii="宋体" w:hAnsi="宋体" w:cs="宋体"/>
          <w:sz w:val="24"/>
          <w:highlight w:val="none"/>
        </w:rPr>
        <w:t xml:space="preserve">2 法定代表人资格证明书（实质性格式）</w:t>
      </w:r>
      <w:r/>
    </w:p>
    <w:p>
      <w:pPr>
        <w:ind w:left="267" w:hanging="267"/>
        <w:jc w:val="center"/>
        <w:spacing w:line="360" w:lineRule="auto"/>
        <w:rPr>
          <w:rFonts w:ascii="宋体" w:hAnsi="宋体" w:cs="宋体"/>
          <w:b/>
          <w:sz w:val="28"/>
          <w:szCs w:val="28"/>
          <w:highlight w:val="none"/>
        </w:rPr>
      </w:pPr>
      <w:r>
        <w:rPr>
          <w:rFonts w:hint="eastAsia" w:ascii="宋体" w:hAnsi="宋体" w:cs="宋体"/>
          <w:b/>
          <w:sz w:val="28"/>
          <w:szCs w:val="28"/>
          <w:highlight w:val="none"/>
        </w:rPr>
        <w:t xml:space="preserve">法定代表人资格证明书</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单位名称:</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地址:</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姓名:     性别:       年龄:      职务:</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系</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（投标单位名称）的法定代表人。为参与</w:t>
      </w:r>
      <w:r>
        <w:rPr>
          <w:rFonts w:hint="eastAsia" w:ascii="宋体" w:hAnsi="宋体" w:cs="宋体"/>
          <w:bCs/>
          <w:sz w:val="24"/>
          <w:highlight w:val="none"/>
          <w:u w:val="single"/>
        </w:rPr>
        <w:t xml:space="preserve">      </w:t>
      </w:r>
      <w:r>
        <w:rPr>
          <w:rFonts w:hint="eastAsia" w:ascii="宋体" w:hAnsi="宋体" w:cs="宋体"/>
          <w:bCs/>
          <w:sz w:val="24"/>
          <w:highlight w:val="none"/>
        </w:rPr>
        <w:t xml:space="preserve">（项目名称）的政府采购活动，签署、澄清确认、递交、撤回、修改上述项目的投标文件、进行合同谈判、签署合同和处理与之有关的一切事务。</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特此证明。</w:t>
      </w:r>
      <w:r/>
    </w:p>
    <w:p>
      <w:pPr>
        <w:contextualSpacing/>
        <w:ind w:firstLine="480"/>
        <w:spacing w:line="360" w:lineRule="auto"/>
        <w:rPr>
          <w:rFonts w:ascii="宋体" w:hAnsi="宋体" w:cs="宋体"/>
          <w:bCs/>
          <w:sz w:val="24"/>
          <w:highlight w:val="none"/>
        </w:rPr>
      </w:pPr>
      <w:r>
        <w:rPr>
          <w:rFonts w:ascii="宋体" w:hAnsi="宋体" w:cs="宋体"/>
          <w:bCs/>
          <w:sz w:val="24"/>
          <w:highlight w:val="none"/>
        </w:rPr>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附：法定代表人（单位负责人）有效期内的身份证正反面</w:t>
      </w:r>
      <w:r>
        <w:rPr>
          <w:rFonts w:hint="eastAsia" w:ascii="宋体" w:hAnsi="宋体" w:cs="宋体"/>
          <w:sz w:val="24"/>
          <w:highlight w:val="none"/>
        </w:rPr>
        <w:t xml:space="preserve">扫描件</w:t>
      </w:r>
      <w:r>
        <w:rPr>
          <w:rFonts w:hint="eastAsia" w:ascii="宋体" w:hAnsi="宋体" w:cs="宋体"/>
          <w:bCs/>
          <w:sz w:val="24"/>
          <w:highlight w:val="none"/>
        </w:rPr>
        <w:t xml:space="preserve">。</w:t>
      </w:r>
      <w:r/>
    </w:p>
    <w:tbl>
      <w:tblPr>
        <w:tblStyle w:val="994"/>
        <w:tblW w:w="86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14"/>
        <w:gridCol w:w="4285"/>
      </w:tblGrid>
      <w:tr>
        <w:trPr>
          <w:trHeight w:val="1851"/>
        </w:trPr>
        <w:tc>
          <w:tcPr>
            <w:tcW w:w="4414" w:type="dxa"/>
            <w:textDirection w:val="lrTb"/>
            <w:noWrap w:val="false"/>
          </w:tcPr>
          <w:p>
            <w:pPr>
              <w:contextualSpacing/>
              <w:ind w:firstLine="480"/>
              <w:spacing w:line="360" w:lineRule="auto"/>
              <w:rPr>
                <w:rFonts w:ascii="宋体" w:hAnsi="宋体" w:cs="宋体"/>
                <w:bCs/>
                <w:sz w:val="24"/>
                <w:highlight w:val="none"/>
              </w:rPr>
            </w:pPr>
            <w:r>
              <w:rPr>
                <w:rFonts w:ascii="宋体" w:hAnsi="宋体" w:cs="宋体"/>
                <w:bCs/>
                <w:sz w:val="24"/>
                <w:highlight w:val="none"/>
              </w:rPr>
            </w:r>
            <w:r/>
          </w:p>
          <w:p>
            <w:pPr>
              <w:contextualSpacing/>
              <w:ind w:firstLine="480"/>
              <w:spacing w:line="360" w:lineRule="auto"/>
              <w:rPr>
                <w:rFonts w:ascii="宋体" w:hAnsi="宋体" w:cs="宋体"/>
                <w:bCs/>
                <w:sz w:val="24"/>
                <w:highlight w:val="none"/>
              </w:rPr>
            </w:pPr>
            <w:r>
              <w:rPr>
                <w:rFonts w:ascii="宋体" w:hAnsi="宋体" w:cs="宋体"/>
                <w:bCs/>
                <w:sz w:val="24"/>
                <w:highlight w:val="none"/>
              </w:rPr>
            </w:r>
            <w:r/>
          </w:p>
          <w:p>
            <w:pPr>
              <w:contextualSpacing/>
              <w:ind w:firstLine="480"/>
              <w:spacing w:line="360" w:lineRule="auto"/>
              <w:rPr>
                <w:rFonts w:ascii="宋体" w:hAnsi="宋体" w:cs="宋体"/>
                <w:bCs/>
                <w:sz w:val="24"/>
                <w:highlight w:val="none"/>
              </w:rPr>
            </w:pPr>
            <w:r>
              <w:rPr>
                <w:rFonts w:ascii="宋体" w:hAnsi="宋体" w:cs="宋体"/>
                <w:bCs/>
                <w:sz w:val="24"/>
                <w:highlight w:val="none"/>
              </w:rPr>
            </w:r>
            <w:r/>
          </w:p>
        </w:tc>
        <w:tc>
          <w:tcPr>
            <w:tcW w:w="4285" w:type="dxa"/>
            <w:textDirection w:val="lrTb"/>
            <w:noWrap w:val="false"/>
          </w:tcPr>
          <w:p>
            <w:pPr>
              <w:contextualSpacing/>
              <w:ind w:firstLine="480"/>
              <w:spacing w:line="360" w:lineRule="auto"/>
              <w:rPr>
                <w:rFonts w:ascii="宋体" w:hAnsi="宋体" w:cs="宋体"/>
                <w:bCs/>
                <w:sz w:val="24"/>
                <w:highlight w:val="none"/>
              </w:rPr>
            </w:pPr>
            <w:r>
              <w:rPr>
                <w:rFonts w:ascii="宋体" w:hAnsi="宋体" w:cs="宋体"/>
                <w:bCs/>
                <w:sz w:val="24"/>
                <w:highlight w:val="none"/>
              </w:rPr>
            </w:r>
            <w:r/>
          </w:p>
          <w:p>
            <w:pPr>
              <w:contextualSpacing/>
              <w:ind w:firstLine="480"/>
              <w:spacing w:line="360" w:lineRule="auto"/>
              <w:rPr>
                <w:rFonts w:ascii="宋体" w:hAnsi="宋体" w:cs="宋体"/>
                <w:bCs/>
                <w:sz w:val="24"/>
                <w:highlight w:val="none"/>
              </w:rPr>
            </w:pPr>
            <w:r>
              <w:rPr>
                <w:rFonts w:ascii="宋体" w:hAnsi="宋体" w:cs="宋体"/>
                <w:bCs/>
                <w:sz w:val="24"/>
                <w:highlight w:val="none"/>
              </w:rPr>
            </w:r>
            <w:r/>
          </w:p>
          <w:p>
            <w:pPr>
              <w:contextualSpacing/>
              <w:ind w:firstLine="480"/>
              <w:spacing w:line="360" w:lineRule="auto"/>
              <w:rPr>
                <w:rFonts w:ascii="宋体" w:hAnsi="宋体" w:cs="宋体"/>
                <w:bCs/>
                <w:sz w:val="24"/>
                <w:highlight w:val="none"/>
              </w:rPr>
            </w:pPr>
            <w:r>
              <w:rPr>
                <w:rFonts w:ascii="宋体" w:hAnsi="宋体" w:cs="宋体"/>
                <w:bCs/>
                <w:sz w:val="24"/>
                <w:highlight w:val="none"/>
              </w:rPr>
            </w:r>
            <w:r/>
          </w:p>
        </w:tc>
      </w:tr>
    </w:tbl>
    <w:p>
      <w:pPr>
        <w:contextualSpacing/>
        <w:ind w:firstLine="480"/>
        <w:spacing w:line="360" w:lineRule="auto"/>
        <w:rPr>
          <w:rFonts w:ascii="宋体" w:hAnsi="宋体" w:cs="宋体"/>
          <w:bCs/>
          <w:sz w:val="24"/>
          <w:highlight w:val="none"/>
        </w:rPr>
      </w:pPr>
      <w:r>
        <w:rPr>
          <w:rFonts w:ascii="宋体" w:hAnsi="宋体" w:cs="宋体"/>
          <w:bCs/>
          <w:sz w:val="24"/>
          <w:highlight w:val="none"/>
        </w:rPr>
      </w:r>
      <w:r/>
    </w:p>
    <w:p>
      <w:pPr>
        <w:contextualSpacing/>
        <w:ind w:firstLine="480"/>
        <w:spacing w:line="360" w:lineRule="auto"/>
        <w:rPr>
          <w:rFonts w:ascii="宋体" w:hAnsi="宋体" w:cs="宋体"/>
          <w:bCs/>
          <w:sz w:val="24"/>
          <w:highlight w:val="none"/>
        </w:rPr>
      </w:pPr>
      <w:r>
        <w:rPr>
          <w:rFonts w:ascii="宋体" w:hAnsi="宋体" w:cs="宋体"/>
          <w:bCs/>
          <w:sz w:val="24"/>
          <w:highlight w:val="none"/>
        </w:rPr>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投标人：（加盖公章）</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法定代表人签字或盖章：</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日期：    年    月    日</w:t>
      </w:r>
      <w:r/>
    </w:p>
    <w:p>
      <w:pPr>
        <w:contextualSpacing/>
        <w:ind w:firstLine="480"/>
        <w:spacing w:line="360" w:lineRule="auto"/>
        <w:rPr>
          <w:rFonts w:ascii="宋体" w:hAnsi="宋体" w:cs="宋体"/>
          <w:bCs/>
          <w:sz w:val="24"/>
          <w:highlight w:val="none"/>
        </w:rPr>
      </w:pPr>
      <w:r>
        <w:rPr>
          <w:rFonts w:ascii="宋体" w:hAnsi="宋体" w:cs="宋体"/>
          <w:bCs/>
          <w:sz w:val="24"/>
          <w:highlight w:val="none"/>
        </w:rPr>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说明：</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1.若投标人为事业单位或其他组织或分支机构（仅当招标文件注明允许分支机构投标的），则法定代表人（单位负责人）处的签署人可为单位负责人。</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2.投标人为自然人的情形，可不提供本《法定代表人资格证明书》。。</w:t>
      </w:r>
      <w:r/>
    </w:p>
    <w:p>
      <w:pPr>
        <w:contextualSpacing/>
        <w:ind w:firstLine="480"/>
        <w:spacing w:line="360" w:lineRule="auto"/>
        <w:rPr>
          <w:rFonts w:ascii="宋体" w:hAnsi="宋体" w:cs="宋体"/>
          <w:bCs/>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sz w:val="24"/>
          <w:highlight w:val="none"/>
        </w:rPr>
      </w:r>
      <w:r/>
    </w:p>
    <w:p>
      <w:pPr>
        <w:ind w:left="228" w:hanging="228"/>
        <w:spacing w:line="360" w:lineRule="auto"/>
        <w:rPr>
          <w:rFonts w:ascii="宋体" w:hAnsi="宋体" w:cs="宋体"/>
          <w:sz w:val="24"/>
          <w:szCs w:val="20"/>
          <w:highlight w:val="none"/>
        </w:rPr>
        <w:outlineLvl w:val="2"/>
      </w:pPr>
      <w:r>
        <w:rPr>
          <w:rFonts w:hint="eastAsia" w:ascii="宋体" w:hAnsi="宋体" w:cs="宋体"/>
          <w:sz w:val="24"/>
          <w:szCs w:val="20"/>
          <w:highlight w:val="none"/>
        </w:rPr>
        <w:t xml:space="preserve">3 政府采购供应商信用承诺书（实质性格式）</w:t>
      </w:r>
      <w:r/>
    </w:p>
    <w:p>
      <w:pPr>
        <w:ind w:left="267" w:hanging="267"/>
        <w:jc w:val="center"/>
        <w:spacing w:line="360" w:lineRule="auto"/>
        <w:rPr>
          <w:rFonts w:ascii="宋体" w:hAnsi="宋体" w:cs="宋体"/>
          <w:b/>
          <w:sz w:val="28"/>
          <w:szCs w:val="28"/>
          <w:highlight w:val="none"/>
        </w:rPr>
      </w:pPr>
      <w:r>
        <w:rPr>
          <w:rFonts w:hint="eastAsia" w:ascii="宋体" w:hAnsi="宋体" w:cs="宋体"/>
          <w:b/>
          <w:sz w:val="28"/>
          <w:szCs w:val="28"/>
          <w:highlight w:val="none"/>
        </w:rPr>
        <w:t xml:space="preserve">政府采购供应商信用承诺书</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为维护公开、公平、公正的政府采购市场秩序，树立诚实守信的供应商形象，本单位在参与政府采购活动中,自愿作出以下承诺：</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三、本单位提供给注册登记部门、行业管理部门、司法部门、行业组织以及在政府采购活动中提交的所有资料均合法、真实、有效，无任何伪造、修改、虚假成分，并对所提供资料的真实性负责。</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五、承诺本单位自觉接受行政管理部门、行业组织、社会公众、新闻舆论的监督。 </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七、承诺本单位在信用中国（江苏）网站中无违法违规、较重或严重失信记录。 </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八、承诺本单位提出政府采购质疑和投诉坚持依法依规、诚实信用原则。</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九、根据政府采购相关法律法规的规定需要作出的其他承诺。 </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投标人名称（加盖公章）：____________</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日期：_____年______月______日   </w:t>
      </w:r>
      <w:r/>
    </w:p>
    <w:p>
      <w:pPr>
        <w:ind w:left="228" w:hanging="228"/>
        <w:spacing w:line="360" w:lineRule="auto"/>
        <w:rPr>
          <w:rFonts w:ascii="宋体" w:hAnsi="宋体" w:cs="宋体"/>
          <w:sz w:val="24"/>
          <w:szCs w:val="20"/>
          <w:highlight w:val="none"/>
        </w:rPr>
        <w:sectPr>
          <w:footnotePr/>
          <w:endnotePr/>
          <w:type w:val="nextPage"/>
          <w:pgSz w:w="11906" w:h="16838" w:orient="portrait"/>
          <w:pgMar w:top="1440" w:right="1800" w:bottom="1440" w:left="1800" w:header="851" w:footer="992" w:gutter="0"/>
          <w:cols w:num="1" w:sep="0" w:space="720" w:equalWidth="1"/>
          <w:docGrid w:linePitch="360"/>
        </w:sectPr>
        <w:outlineLvl w:val="2"/>
      </w:pPr>
      <w:r>
        <w:rPr>
          <w:rFonts w:ascii="宋体" w:hAnsi="宋体" w:cs="宋体"/>
          <w:sz w:val="24"/>
          <w:szCs w:val="20"/>
          <w:highlight w:val="none"/>
        </w:rPr>
      </w:r>
      <w:r/>
    </w:p>
    <w:p>
      <w:pPr>
        <w:ind w:left="228" w:hanging="228"/>
        <w:spacing w:line="360" w:lineRule="auto"/>
        <w:rPr>
          <w:rFonts w:ascii="宋体" w:hAnsi="宋体" w:cs="宋体"/>
          <w:sz w:val="24"/>
          <w:szCs w:val="20"/>
          <w:highlight w:val="none"/>
        </w:rPr>
        <w:outlineLvl w:val="2"/>
      </w:pPr>
      <w:r>
        <w:rPr>
          <w:rFonts w:hint="eastAsia" w:ascii="宋体" w:hAnsi="宋体" w:cs="宋体"/>
          <w:sz w:val="24"/>
          <w:szCs w:val="20"/>
          <w:highlight w:val="none"/>
        </w:rPr>
        <w:t xml:space="preserve">4 报价一览表（实质性格式）</w:t>
      </w:r>
      <w:r/>
    </w:p>
    <w:p>
      <w:pPr>
        <w:ind w:left="343" w:hanging="343"/>
        <w:jc w:val="center"/>
        <w:spacing w:line="360" w:lineRule="exact"/>
        <w:rPr>
          <w:rFonts w:ascii="宋体" w:hAnsi="宋体" w:cs="宋体"/>
          <w:b/>
          <w:sz w:val="36"/>
          <w:szCs w:val="36"/>
          <w:highlight w:val="none"/>
        </w:rPr>
      </w:pPr>
      <w:r/>
      <w:bookmarkStart w:id="524" w:name="_Toc305158900"/>
      <w:r/>
      <w:bookmarkStart w:id="525" w:name="_Toc226965831"/>
      <w:r/>
      <w:bookmarkStart w:id="526" w:name="_Toc195842923"/>
      <w:r/>
      <w:bookmarkStart w:id="527" w:name="_Toc164608827"/>
      <w:r/>
      <w:bookmarkStart w:id="528" w:name="_Toc265228396"/>
      <w:r/>
      <w:bookmarkStart w:id="529" w:name="_Toc264969248"/>
      <w:r/>
      <w:bookmarkStart w:id="530" w:name="_Toc164608672"/>
      <w:r/>
      <w:bookmarkStart w:id="531" w:name="_Toc305158826"/>
      <w:r/>
      <w:bookmarkStart w:id="532" w:name="_Toc226965748"/>
      <w:r/>
      <w:bookmarkStart w:id="533" w:name="_Toc226309802"/>
      <w:r/>
      <w:bookmarkStart w:id="534" w:name="_Toc226337254"/>
      <w:r>
        <w:rPr>
          <w:rFonts w:hint="eastAsia" w:ascii="宋体" w:hAnsi="宋体" w:cs="宋体"/>
          <w:b/>
          <w:sz w:val="36"/>
          <w:szCs w:val="36"/>
          <w:highlight w:val="none"/>
        </w:rPr>
        <w:t xml:space="preserve">开标一览表</w:t>
      </w:r>
      <w:bookmarkEnd w:id="524"/>
      <w:r/>
      <w:bookmarkEnd w:id="525"/>
      <w:r/>
      <w:bookmarkEnd w:id="526"/>
      <w:r/>
      <w:bookmarkEnd w:id="527"/>
      <w:r/>
      <w:bookmarkEnd w:id="528"/>
      <w:r/>
      <w:bookmarkEnd w:id="529"/>
      <w:r/>
      <w:bookmarkEnd w:id="530"/>
      <w:r/>
      <w:bookmarkEnd w:id="531"/>
      <w:r/>
      <w:bookmarkEnd w:id="532"/>
      <w:r/>
      <w:bookmarkEnd w:id="533"/>
      <w:r/>
      <w:bookmarkEnd w:id="534"/>
      <w:r/>
      <w:r/>
    </w:p>
    <w:p>
      <w:pPr>
        <w:ind w:left="228" w:hanging="228"/>
        <w:jc w:val="left"/>
        <w:spacing w:line="360" w:lineRule="auto"/>
        <w:tabs>
          <w:tab w:val="left" w:pos="1800" w:leader="none"/>
          <w:tab w:val="left" w:pos="5580" w:leader="none"/>
        </w:tabs>
        <w:rPr>
          <w:rFonts w:ascii="宋体" w:hAnsi="宋体" w:cs="宋体"/>
          <w:i/>
          <w:sz w:val="24"/>
          <w:highlight w:val="none"/>
        </w:rPr>
      </w:pPr>
      <w:r>
        <w:rPr>
          <w:rFonts w:ascii="宋体" w:hAnsi="宋体" w:cs="宋体"/>
          <w:i/>
          <w:sz w:val="24"/>
          <w:highlight w:val="none"/>
        </w:rPr>
      </w:r>
      <w:r/>
    </w:p>
    <w:p>
      <w:pPr>
        <w:ind w:firstLine="240"/>
        <w:jc w:val="left"/>
        <w:spacing w:line="360" w:lineRule="auto"/>
        <w:tabs>
          <w:tab w:val="left" w:pos="1800" w:leader="none"/>
          <w:tab w:val="left" w:pos="5580" w:leader="none"/>
        </w:tabs>
        <w:rPr>
          <w:highlight w:val="none"/>
        </w:rPr>
      </w:pPr>
      <w:r>
        <w:rPr>
          <w:rFonts w:hint="eastAsia" w:ascii="宋体" w:hAnsi="宋体" w:cs="宋体"/>
          <w:sz w:val="24"/>
          <w:highlight w:val="none"/>
        </w:rPr>
        <w:t xml:space="preserve">项目编号/包号：_____________________     项目名称：____________</w:t>
      </w:r>
      <w:r/>
    </w:p>
    <w:tbl>
      <w:tblPr>
        <w:tblStyle w:val="994"/>
        <w:tblW w:w="45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16"/>
        <w:gridCol w:w="4418"/>
        <w:gridCol w:w="2366"/>
        <w:gridCol w:w="6"/>
      </w:tblGrid>
      <w:tr>
        <w:trPr>
          <w:jc w:val="center"/>
          <w:trHeight w:val="771"/>
        </w:trPr>
        <w:tc>
          <w:tcPr>
            <w:tcW w:w="536" w:type="pct"/>
            <w:vAlign w:val="center"/>
            <w:textDirection w:val="lrTb"/>
            <w:noWrap w:val="false"/>
          </w:tcPr>
          <w:p>
            <w:pPr>
              <w:ind w:left="229" w:hanging="229"/>
              <w:jc w:val="center"/>
              <w:tabs>
                <w:tab w:val="left" w:pos="5580" w:leader="none"/>
              </w:tabs>
              <w:rPr>
                <w:rFonts w:ascii="宋体" w:hAnsi="宋体" w:cs="宋体"/>
                <w:b/>
                <w:sz w:val="24"/>
                <w:highlight w:val="none"/>
              </w:rPr>
            </w:pPr>
            <w:r>
              <w:rPr>
                <w:rFonts w:hint="eastAsia" w:ascii="宋体" w:hAnsi="宋体" w:cs="宋体"/>
                <w:b/>
                <w:sz w:val="24"/>
                <w:highlight w:val="none"/>
              </w:rPr>
              <w:t xml:space="preserve">序号</w:t>
            </w:r>
            <w:r/>
          </w:p>
        </w:tc>
        <w:tc>
          <w:tcPr>
            <w:tcW w:w="2903" w:type="pct"/>
            <w:vAlign w:val="center"/>
            <w:textDirection w:val="lrTb"/>
            <w:noWrap w:val="false"/>
          </w:tcPr>
          <w:p>
            <w:pPr>
              <w:ind w:left="229" w:hanging="229"/>
              <w:jc w:val="center"/>
              <w:tabs>
                <w:tab w:val="left" w:pos="5580" w:leader="none"/>
              </w:tabs>
              <w:rPr>
                <w:rFonts w:ascii="宋体" w:hAnsi="宋体" w:cs="宋体"/>
                <w:b/>
                <w:sz w:val="24"/>
                <w:highlight w:val="none"/>
              </w:rPr>
            </w:pPr>
            <w:r>
              <w:rPr>
                <w:rFonts w:hint="eastAsia" w:ascii="宋体" w:hAnsi="宋体" w:cs="宋体"/>
                <w:b/>
                <w:sz w:val="24"/>
                <w:highlight w:val="none"/>
              </w:rPr>
              <w:t xml:space="preserve">投标人名称</w:t>
            </w:r>
            <w:r/>
          </w:p>
        </w:tc>
        <w:tc>
          <w:tcPr>
            <w:gridSpan w:val="2"/>
            <w:tcW w:w="1559" w:type="pct"/>
            <w:vAlign w:val="center"/>
            <w:textDirection w:val="lrTb"/>
            <w:noWrap w:val="false"/>
          </w:tcPr>
          <w:p>
            <w:pPr>
              <w:ind w:left="229" w:hanging="229"/>
              <w:jc w:val="center"/>
              <w:tabs>
                <w:tab w:val="left" w:pos="5580" w:leader="none"/>
              </w:tabs>
              <w:rPr>
                <w:rFonts w:hint="eastAsia" w:ascii="宋体" w:hAnsi="宋体" w:eastAsia="宋体" w:cs="宋体"/>
                <w:b/>
                <w:sz w:val="24"/>
                <w:highlight w:val="none"/>
                <w:lang w:val="en-US" w:eastAsia="zh-CN"/>
              </w:rPr>
            </w:pPr>
            <w:r>
              <w:rPr>
                <w:rFonts w:hint="eastAsia" w:ascii="宋体" w:hAnsi="宋体" w:cs="宋体"/>
                <w:b/>
                <w:sz w:val="24"/>
                <w:highlight w:val="none"/>
                <w:lang w:val="en-US" w:eastAsia="zh-CN"/>
              </w:rPr>
              <w:t xml:space="preserve">优惠率</w:t>
            </w:r>
            <w:r/>
          </w:p>
        </w:tc>
      </w:tr>
      <w:tr>
        <w:trPr>
          <w:gridAfter w:val="1"/>
          <w:jc w:val="center"/>
          <w:trHeight w:val="1317"/>
        </w:trPr>
        <w:tc>
          <w:tcPr>
            <w:tcW w:w="536" w:type="pct"/>
            <w:vAlign w:val="center"/>
            <w:textDirection w:val="lrTb"/>
            <w:noWrap w:val="false"/>
          </w:tcPr>
          <w:p>
            <w:pPr>
              <w:ind w:left="228" w:hanging="228"/>
              <w:jc w:val="center"/>
              <w:tabs>
                <w:tab w:val="left" w:pos="5580" w:leader="none"/>
              </w:tabs>
              <w:rPr>
                <w:rFonts w:ascii="宋体" w:hAnsi="宋体" w:cs="宋体"/>
                <w:sz w:val="24"/>
                <w:highlight w:val="none"/>
              </w:rPr>
            </w:pPr>
            <w:r>
              <w:rPr>
                <w:rFonts w:ascii="宋体" w:hAnsi="宋体" w:cs="宋体"/>
                <w:sz w:val="24"/>
                <w:highlight w:val="none"/>
              </w:rPr>
            </w:r>
            <w:r/>
          </w:p>
        </w:tc>
        <w:tc>
          <w:tcPr>
            <w:tcW w:w="2903" w:type="pct"/>
            <w:vAlign w:val="center"/>
            <w:textDirection w:val="lrTb"/>
            <w:noWrap w:val="false"/>
          </w:tcPr>
          <w:p>
            <w:pPr>
              <w:ind w:left="228" w:hanging="228"/>
              <w:jc w:val="center"/>
              <w:tabs>
                <w:tab w:val="left" w:pos="5580" w:leader="none"/>
              </w:tabs>
              <w:rPr>
                <w:rFonts w:ascii="宋体" w:hAnsi="宋体" w:cs="宋体"/>
                <w:sz w:val="24"/>
                <w:highlight w:val="none"/>
              </w:rPr>
            </w:pPr>
            <w:r>
              <w:rPr>
                <w:rFonts w:ascii="宋体" w:hAnsi="宋体" w:cs="宋体"/>
                <w:sz w:val="24"/>
                <w:highlight w:val="none"/>
              </w:rPr>
            </w:r>
            <w:r/>
          </w:p>
        </w:tc>
        <w:tc>
          <w:tcPr>
            <w:tcW w:w="1555" w:type="pct"/>
            <w:vAlign w:val="center"/>
            <w:textDirection w:val="lrTb"/>
            <w:noWrap w:val="false"/>
          </w:tcPr>
          <w:p>
            <w:pPr>
              <w:ind w:left="229" w:hanging="229"/>
              <w:jc w:val="center"/>
              <w:tabs>
                <w:tab w:val="left" w:pos="5580" w:leader="none"/>
              </w:tabs>
              <w:rPr>
                <w:rFonts w:ascii="宋体" w:hAnsi="宋体" w:cs="宋体"/>
                <w:b/>
                <w:sz w:val="24"/>
                <w:highlight w:val="none"/>
              </w:rPr>
            </w:pPr>
            <w:r>
              <w:rPr>
                <w:rFonts w:ascii="宋体" w:hAnsi="宋体" w:cs="宋体"/>
                <w:b/>
                <w:sz w:val="24"/>
                <w:highlight w:val="none"/>
              </w:rPr>
            </w:r>
            <w:r/>
          </w:p>
        </w:tc>
      </w:tr>
    </w:tbl>
    <w:p>
      <w:pPr>
        <w:ind w:left="228" w:hanging="228"/>
        <w:jc w:val="left"/>
        <w:rPr>
          <w:rFonts w:ascii="宋体" w:hAnsi="宋体" w:cs="宋体"/>
          <w:sz w:val="24"/>
          <w:highlight w:val="none"/>
        </w:rPr>
      </w:pPr>
      <w:r>
        <w:rPr>
          <w:rFonts w:ascii="宋体" w:hAnsi="宋体" w:cs="宋体"/>
          <w:sz w:val="24"/>
          <w:highlight w:val="none"/>
        </w:rPr>
      </w:r>
      <w:r/>
    </w:p>
    <w:p>
      <w:pPr>
        <w:ind w:left="449" w:firstLine="220"/>
        <w:spacing w:line="360" w:lineRule="auto"/>
        <w:rPr>
          <w:rFonts w:hint="eastAsia" w:ascii="宋体" w:hAnsi="宋体" w:eastAsia="宋体" w:cs="宋体"/>
          <w:b/>
          <w:bCs/>
          <w:sz w:val="24"/>
          <w:szCs w:val="20"/>
          <w:highlight w:val="none"/>
        </w:rPr>
        <w:outlineLvl w:val="2"/>
      </w:pPr>
      <w:r>
        <w:rPr>
          <w:rFonts w:hint="eastAsia" w:ascii="宋体" w:hAnsi="宋体" w:eastAsia="宋体" w:cs="宋体"/>
          <w:sz w:val="24"/>
          <w:szCs w:val="20"/>
          <w:highlight w:val="none"/>
        </w:rPr>
        <w:t xml:space="preserve">注：1.优惠率最多保留两位小数。</w:t>
      </w:r>
      <w:r>
        <w:rPr>
          <w:rFonts w:hint="eastAsia" w:ascii="宋体" w:hAnsi="宋体" w:eastAsia="宋体" w:cs="宋体"/>
          <w:b/>
          <w:bCs/>
          <w:sz w:val="24"/>
          <w:szCs w:val="20"/>
          <w:highlight w:val="none"/>
          <w:lang w:val="en-US" w:eastAsia="zh-CN"/>
        </w:rPr>
        <w:t xml:space="preserve">30</w:t>
      </w:r>
      <w:r>
        <w:rPr>
          <w:rFonts w:hint="eastAsia" w:ascii="宋体" w:hAnsi="宋体" w:eastAsia="宋体" w:cs="宋体"/>
          <w:b/>
          <w:bCs/>
          <w:sz w:val="24"/>
          <w:szCs w:val="20"/>
          <w:highlight w:val="none"/>
        </w:rPr>
        <w:t xml:space="preserve">≤优惠率&lt;100%，否则视为无效</w:t>
      </w:r>
      <w:r>
        <w:rPr>
          <w:rFonts w:hint="eastAsia" w:ascii="宋体" w:hAnsi="宋体" w:eastAsia="宋体" w:cs="宋体"/>
          <w:b/>
          <w:bCs/>
          <w:sz w:val="24"/>
          <w:szCs w:val="20"/>
          <w:highlight w:val="none"/>
          <w:lang w:val="en-US" w:eastAsia="zh-CN"/>
        </w:rPr>
        <w:t xml:space="preserve">投标</w:t>
      </w:r>
      <w:r>
        <w:rPr>
          <w:rFonts w:hint="eastAsia" w:ascii="宋体" w:hAnsi="宋体" w:eastAsia="宋体" w:cs="宋体"/>
          <w:b/>
          <w:bCs/>
          <w:sz w:val="24"/>
          <w:szCs w:val="20"/>
          <w:highlight w:val="none"/>
        </w:rPr>
        <w:t xml:space="preserve">。</w:t>
      </w:r>
      <w:r/>
    </w:p>
    <w:p>
      <w:pPr>
        <w:ind w:left="449" w:firstLine="220"/>
        <w:spacing w:line="360" w:lineRule="auto"/>
        <w:rPr>
          <w:rFonts w:hint="eastAsia" w:ascii="宋体" w:hAnsi="宋体" w:eastAsia="宋体" w:cs="宋体"/>
          <w:sz w:val="24"/>
          <w:szCs w:val="20"/>
          <w:highlight w:val="none"/>
        </w:rPr>
        <w:outlineLvl w:val="2"/>
      </w:pPr>
      <w:r>
        <w:rPr>
          <w:rFonts w:hint="eastAsia" w:ascii="宋体" w:hAnsi="宋体" w:eastAsia="宋体" w:cs="宋体"/>
          <w:sz w:val="24"/>
          <w:szCs w:val="20"/>
          <w:highlight w:val="none"/>
        </w:rPr>
        <w:t xml:space="preserve">2.以《江苏省环境监测专业服务管理办法》、《江苏省环境监测专业服务收费标准》（苏价费[2006]397号）和《省物价局、省财政厅关于降低收费标准和实施收费减免的通知》为基准，以优惠率的形式进行投标报价。最终结算单价=收费标准*（1-</w:t>
      </w:r>
      <w:r>
        <w:rPr>
          <w:rFonts w:hint="eastAsia" w:ascii="宋体" w:hAnsi="宋体" w:cs="宋体"/>
          <w:sz w:val="24"/>
          <w:szCs w:val="20"/>
          <w:highlight w:val="none"/>
          <w:lang w:eastAsia="zh-CN"/>
        </w:rPr>
        <w:t xml:space="preserve">中标优惠率</w:t>
      </w:r>
      <w:r>
        <w:rPr>
          <w:rFonts w:hint="eastAsia" w:ascii="宋体" w:hAnsi="宋体" w:eastAsia="宋体" w:cs="宋体"/>
          <w:sz w:val="24"/>
          <w:szCs w:val="20"/>
          <w:highlight w:val="none"/>
        </w:rPr>
        <w:t xml:space="preserve">）（注：如价格优惠率为</w:t>
      </w:r>
      <w:r>
        <w:rPr>
          <w:rFonts w:hint="eastAsia" w:ascii="宋体" w:hAnsi="宋体" w:eastAsia="宋体" w:cs="宋体"/>
          <w:sz w:val="24"/>
          <w:szCs w:val="20"/>
          <w:highlight w:val="none"/>
          <w:lang w:val="en-US" w:eastAsia="zh-CN"/>
        </w:rPr>
        <w:t xml:space="preserve">3</w:t>
      </w:r>
      <w:r>
        <w:rPr>
          <w:rFonts w:hint="eastAsia" w:ascii="宋体" w:hAnsi="宋体" w:eastAsia="宋体" w:cs="宋体"/>
          <w:sz w:val="24"/>
          <w:szCs w:val="20"/>
          <w:highlight w:val="none"/>
        </w:rPr>
        <w:t xml:space="preserve">0.00%,则所报折扣为</w:t>
      </w:r>
      <w:r>
        <w:rPr>
          <w:rFonts w:hint="eastAsia" w:ascii="宋体" w:hAnsi="宋体" w:eastAsia="宋体" w:cs="宋体"/>
          <w:sz w:val="24"/>
          <w:szCs w:val="20"/>
          <w:highlight w:val="none"/>
          <w:lang w:val="en-US" w:eastAsia="zh-CN"/>
        </w:rPr>
        <w:t xml:space="preserve">7</w:t>
      </w:r>
      <w:r>
        <w:rPr>
          <w:rFonts w:hint="eastAsia" w:ascii="宋体" w:hAnsi="宋体" w:eastAsia="宋体" w:cs="宋体"/>
          <w:sz w:val="24"/>
          <w:szCs w:val="20"/>
          <w:highlight w:val="none"/>
        </w:rPr>
        <w:t xml:space="preserve">折。）</w:t>
      </w:r>
      <w:r/>
    </w:p>
    <w:p>
      <w:pPr>
        <w:ind w:left="449" w:firstLine="220"/>
        <w:spacing w:line="360" w:lineRule="auto"/>
        <w:rPr>
          <w:rFonts w:hint="eastAsia" w:ascii="宋体" w:hAnsi="宋体" w:eastAsia="宋体" w:cs="宋体"/>
          <w:sz w:val="24"/>
          <w:szCs w:val="20"/>
          <w:highlight w:val="none"/>
        </w:rPr>
        <w:outlineLvl w:val="2"/>
      </w:pPr>
      <w:r>
        <w:rPr>
          <w:rFonts w:hint="eastAsia" w:ascii="宋体" w:hAnsi="宋体" w:eastAsia="宋体" w:cs="宋体"/>
          <w:sz w:val="24"/>
          <w:szCs w:val="20"/>
          <w:highlight w:val="none"/>
          <w:lang w:val="en-US" w:eastAsia="zh-CN"/>
        </w:rPr>
        <w:t xml:space="preserve">3</w:t>
      </w:r>
      <w:r>
        <w:rPr>
          <w:rFonts w:hint="eastAsia" w:ascii="宋体" w:hAnsi="宋体" w:eastAsia="宋体" w:cs="宋体"/>
          <w:sz w:val="24"/>
          <w:szCs w:val="20"/>
          <w:highlight w:val="none"/>
        </w:rPr>
        <w:t xml:space="preserve">.本表按包分别填写。</w:t>
      </w:r>
      <w:r/>
    </w:p>
    <w:p>
      <w:pPr>
        <w:ind w:left="228" w:hanging="228"/>
        <w:spacing w:before="312" w:after="312" w:line="360" w:lineRule="auto"/>
        <w:rPr>
          <w:rFonts w:ascii="宋体" w:hAnsi="宋体" w:cs="宋体"/>
          <w:sz w:val="24"/>
          <w:highlight w:val="none"/>
          <w:lang w:val="zh-CN"/>
        </w:rPr>
      </w:pPr>
      <w:r>
        <w:rPr>
          <w:rFonts w:ascii="宋体" w:hAnsi="宋体" w:cs="宋体"/>
          <w:sz w:val="24"/>
          <w:highlight w:val="none"/>
          <w:lang w:val="zh-CN"/>
        </w:rPr>
      </w:r>
      <w:r/>
    </w:p>
    <w:p>
      <w:pPr>
        <w:ind w:left="228" w:hanging="228"/>
        <w:spacing w:before="312" w:after="312" w:line="360" w:lineRule="auto"/>
        <w:rPr>
          <w:rFonts w:ascii="宋体" w:hAnsi="宋体" w:cs="宋体"/>
          <w:sz w:val="24"/>
          <w:highlight w:val="none"/>
          <w:lang w:val="zh-CN"/>
        </w:rPr>
      </w:pPr>
      <w:r>
        <w:rPr>
          <w:rFonts w:hint="eastAsia" w:ascii="宋体" w:hAnsi="宋体" w:cs="宋体"/>
          <w:sz w:val="24"/>
          <w:highlight w:val="none"/>
          <w:lang w:val="zh-CN"/>
        </w:rPr>
        <w:t xml:space="preserve">                         </w:t>
      </w:r>
      <w:r/>
    </w:p>
    <w:p>
      <w:pPr>
        <w:ind w:left="228" w:hanging="228"/>
        <w:spacing w:before="312" w:after="312" w:line="360" w:lineRule="auto"/>
        <w:rPr>
          <w:rFonts w:ascii="宋体" w:hAnsi="宋体" w:cs="宋体"/>
          <w:sz w:val="24"/>
          <w:highlight w:val="none"/>
          <w:lang w:val="zh-CN"/>
        </w:rPr>
      </w:pPr>
      <w:r>
        <w:rPr>
          <w:rFonts w:hint="eastAsia" w:ascii="宋体" w:hAnsi="宋体" w:cs="宋体"/>
          <w:sz w:val="24"/>
          <w:highlight w:val="none"/>
        </w:rPr>
        <w:t xml:space="preserve">投标人名称（加盖公章）</w:t>
      </w:r>
      <w:r>
        <w:rPr>
          <w:rFonts w:hint="eastAsia" w:ascii="宋体" w:hAnsi="宋体" w:cs="宋体"/>
          <w:sz w:val="24"/>
          <w:highlight w:val="none"/>
          <w:lang w:val="zh-CN"/>
        </w:rPr>
        <w:t xml:space="preserve">：____________</w:t>
      </w:r>
      <w:r/>
    </w:p>
    <w:p>
      <w:pPr>
        <w:contextualSpacing/>
        <w:ind w:firstLine="480"/>
        <w:spacing w:line="360" w:lineRule="auto"/>
        <w:rPr>
          <w:rFonts w:ascii="宋体" w:hAnsi="宋体" w:cs="宋体"/>
          <w:bCs/>
          <w:sz w:val="24"/>
          <w:highlight w:val="none"/>
        </w:rPr>
      </w:pPr>
      <w:r>
        <w:rPr>
          <w:rFonts w:hint="eastAsia" w:ascii="宋体" w:hAnsi="宋体" w:cs="宋体"/>
          <w:sz w:val="24"/>
          <w:szCs w:val="20"/>
          <w:highlight w:val="none"/>
        </w:rPr>
        <w:t xml:space="preserve">日期：_____年______月______日  </w:t>
      </w:r>
      <w:r/>
    </w:p>
    <w:p>
      <w:pPr>
        <w:ind w:left="228" w:hanging="228"/>
        <w:jc w:val="left"/>
        <w:widowControl/>
        <w:rPr>
          <w:rFonts w:ascii="宋体" w:hAnsi="宋体" w:cs="宋体"/>
          <w:sz w:val="24"/>
          <w:szCs w:val="2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sz w:val="24"/>
          <w:szCs w:val="20"/>
          <w:highlight w:val="none"/>
        </w:rPr>
      </w:r>
      <w:r/>
    </w:p>
    <w:p>
      <w:pPr>
        <w:spacing w:line="360" w:lineRule="auto"/>
        <w:rPr>
          <w:rFonts w:ascii="宋体" w:hAnsi="宋体" w:cs="宋体"/>
          <w:sz w:val="24"/>
          <w:szCs w:val="20"/>
          <w:highlight w:val="none"/>
        </w:rPr>
        <w:outlineLvl w:val="2"/>
      </w:pPr>
      <w:r>
        <w:rPr>
          <w:rFonts w:hint="eastAsia" w:ascii="宋体" w:hAnsi="宋体" w:cs="宋体"/>
          <w:sz w:val="24"/>
          <w:szCs w:val="20"/>
          <w:highlight w:val="none"/>
          <w:lang w:val="en-US" w:eastAsia="zh-CN"/>
        </w:rPr>
        <w:t xml:space="preserve">5</w:t>
      </w:r>
      <w:r>
        <w:rPr>
          <w:rFonts w:hint="eastAsia" w:ascii="宋体" w:hAnsi="宋体" w:cs="宋体"/>
          <w:sz w:val="24"/>
          <w:szCs w:val="20"/>
          <w:highlight w:val="none"/>
        </w:rPr>
        <w:t xml:space="preserve"> 合同条款偏离表</w:t>
      </w:r>
      <w:r/>
    </w:p>
    <w:p>
      <w:pPr>
        <w:ind w:left="267" w:hanging="267"/>
        <w:jc w:val="center"/>
        <w:spacing w:line="360" w:lineRule="auto"/>
        <w:rPr>
          <w:rFonts w:ascii="宋体" w:hAnsi="宋体" w:cs="宋体"/>
          <w:b/>
          <w:sz w:val="28"/>
          <w:szCs w:val="28"/>
          <w:highlight w:val="none"/>
        </w:rPr>
      </w:pPr>
      <w:r>
        <w:rPr>
          <w:rFonts w:hint="eastAsia" w:ascii="宋体" w:hAnsi="宋体" w:cs="宋体"/>
          <w:b/>
          <w:sz w:val="28"/>
          <w:szCs w:val="28"/>
          <w:highlight w:val="none"/>
        </w:rPr>
        <w:t xml:space="preserve">合同条款偏离表</w:t>
      </w:r>
      <w:r/>
    </w:p>
    <w:p>
      <w:pPr>
        <w:contextualSpacing/>
        <w:ind w:left="228" w:hanging="228"/>
        <w:spacing w:line="360" w:lineRule="auto"/>
        <w:rPr>
          <w:rFonts w:ascii="宋体" w:hAnsi="宋体" w:cs="宋体"/>
          <w:bCs/>
          <w:sz w:val="24"/>
          <w:highlight w:val="none"/>
        </w:rPr>
      </w:pPr>
      <w:r>
        <w:rPr>
          <w:rFonts w:hint="eastAsia" w:ascii="宋体" w:hAnsi="宋体" w:cs="宋体"/>
          <w:bCs/>
          <w:sz w:val="24"/>
          <w:highlight w:val="none"/>
        </w:rPr>
        <w:t xml:space="preserve">项目编号/包号：</w:t>
      </w:r>
      <w:r>
        <w:rPr>
          <w:rFonts w:hint="eastAsia" w:ascii="宋体" w:hAnsi="宋体" w:cs="宋体"/>
          <w:bCs/>
          <w:sz w:val="24"/>
          <w:highlight w:val="none"/>
          <w:u w:val="single"/>
        </w:rPr>
        <w:t xml:space="preserve">_______________  </w:t>
      </w:r>
      <w:r>
        <w:rPr>
          <w:rFonts w:hint="eastAsia" w:ascii="宋体" w:hAnsi="宋体" w:cs="宋体"/>
          <w:bCs/>
          <w:sz w:val="24"/>
          <w:highlight w:val="none"/>
        </w:rPr>
        <w:t xml:space="preserve">   项目名称：</w:t>
      </w:r>
      <w:r>
        <w:rPr>
          <w:rFonts w:hint="eastAsia" w:ascii="宋体" w:hAnsi="宋体" w:cs="宋体"/>
          <w:bCs/>
          <w:sz w:val="24"/>
          <w:highlight w:val="none"/>
          <w:u w:val="single"/>
        </w:rPr>
        <w:t xml:space="preserve">_____________________</w:t>
      </w:r>
      <w:r/>
    </w:p>
    <w:tbl>
      <w:tblPr>
        <w:tblStyle w:val="9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1910"/>
        <w:gridCol w:w="1645"/>
        <w:gridCol w:w="1629"/>
        <w:gridCol w:w="1629"/>
        <w:gridCol w:w="886"/>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ascii="宋体" w:hAnsi="宋体" w:cs="宋体"/>
                <w:bCs/>
                <w:sz w:val="24"/>
                <w:highlight w:val="none"/>
              </w:rPr>
            </w:pPr>
            <w:r>
              <w:rPr>
                <w:rFonts w:hint="eastAsia" w:ascii="宋体" w:hAnsi="宋体" w:cs="宋体"/>
                <w:bCs/>
                <w:sz w:val="24"/>
                <w:highlight w:val="none"/>
              </w:rPr>
              <w:t xml:space="preserve">对本项目合同条款的偏离情况（请进行勾选）：</w:t>
            </w:r>
            <w:r/>
          </w:p>
          <w:p>
            <w:pPr>
              <w:contextualSpacing/>
              <w:ind w:left="228" w:hanging="228"/>
              <w:jc w:val="left"/>
              <w:spacing w:line="360" w:lineRule="auto"/>
              <w:rPr>
                <w:rFonts w:ascii="宋体" w:hAnsi="宋体" w:cs="宋体"/>
                <w:bCs/>
                <w:sz w:val="24"/>
                <w:highlight w:val="none"/>
              </w:rPr>
            </w:pPr>
            <w:r>
              <w:rPr>
                <w:rFonts w:hint="eastAsia" w:ascii="宋体" w:hAnsi="宋体" w:cs="宋体"/>
                <w:bCs/>
                <w:sz w:val="24"/>
                <w:highlight w:val="none"/>
              </w:rPr>
              <w:t xml:space="preserve">□无偏离（如无偏离，仅勾选无偏离即可）</w:t>
            </w:r>
            <w:r/>
          </w:p>
          <w:p>
            <w:pPr>
              <w:contextualSpacing/>
              <w:ind w:left="228" w:hanging="228"/>
              <w:jc w:val="left"/>
              <w:spacing w:line="360" w:lineRule="auto"/>
              <w:rPr>
                <w:rFonts w:ascii="宋体" w:hAnsi="宋体" w:cs="宋体"/>
                <w:bCs/>
                <w:sz w:val="24"/>
                <w:highlight w:val="none"/>
              </w:rPr>
            </w:pPr>
            <w:r>
              <w:rPr>
                <w:rFonts w:hint="eastAsia" w:ascii="宋体" w:hAnsi="宋体" w:cs="宋体"/>
                <w:bCs/>
                <w:sz w:val="24"/>
                <w:highlight w:val="none"/>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hint="eastAsia" w:ascii="宋体" w:hAnsi="宋体" w:cs="宋体"/>
                <w:bCs/>
                <w:sz w:val="24"/>
                <w:highlight w:val="none"/>
              </w:rPr>
              <w:t xml:space="preserve">序号</w:t>
            </w:r>
            <w:r/>
          </w:p>
        </w:tc>
        <w:tc>
          <w:tcPr>
            <w:tcW w:w="198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hint="eastAsia" w:ascii="宋体" w:hAnsi="宋体" w:cs="宋体"/>
                <w:bCs/>
                <w:sz w:val="24"/>
                <w:highlight w:val="none"/>
              </w:rPr>
              <w:t xml:space="preserve">招标文件条目号（页码）</w:t>
            </w:r>
            <w:r/>
          </w:p>
        </w:tc>
        <w:tc>
          <w:tcPr>
            <w:tcW w:w="1718"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hint="eastAsia" w:ascii="宋体" w:hAnsi="宋体" w:cs="宋体"/>
                <w:bCs/>
                <w:sz w:val="24"/>
                <w:highlight w:val="none"/>
              </w:rPr>
              <w:t xml:space="preserve">招标文件要求</w:t>
            </w:r>
            <w:r/>
          </w:p>
        </w:tc>
        <w:tc>
          <w:tcPr>
            <w:tcW w:w="170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hint="eastAsia" w:ascii="宋体" w:hAnsi="宋体" w:cs="宋体"/>
                <w:bCs/>
                <w:sz w:val="24"/>
                <w:highlight w:val="none"/>
              </w:rPr>
              <w:t xml:space="preserve">投标文件内容</w:t>
            </w:r>
            <w:r/>
          </w:p>
        </w:tc>
        <w:tc>
          <w:tcPr>
            <w:tcW w:w="170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hint="eastAsia" w:ascii="宋体" w:hAnsi="宋体" w:cs="宋体"/>
                <w:bCs/>
                <w:sz w:val="24"/>
                <w:highlight w:val="none"/>
              </w:rPr>
              <w:t xml:space="preserve">偏离情况</w:t>
            </w:r>
            <w:r/>
          </w:p>
        </w:tc>
        <w:tc>
          <w:tcPr>
            <w:tcW w:w="90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hint="eastAsia" w:ascii="宋体" w:hAnsi="宋体" w:cs="宋体"/>
                <w:bCs/>
                <w:sz w:val="24"/>
                <w:highlight w:val="none"/>
              </w:rPr>
              <w:t xml:space="preserve">说明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W w:w="198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W w:w="1718"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W w:w="170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W w:w="170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W w:w="90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W w:w="198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W w:w="1718"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W w:w="170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W w:w="170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W w:w="90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W w:w="198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W w:w="1718"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W w:w="170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W w:w="170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W w:w="90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W w:w="198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W w:w="1718"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W w:w="170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W w:w="170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W w:w="90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r>
    </w:tbl>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注：</w:t>
      </w:r>
      <w:r/>
    </w:p>
    <w:p>
      <w:pPr>
        <w:contextualSpacing/>
        <w:ind w:firstLine="480"/>
        <w:spacing w:line="360" w:lineRule="auto"/>
        <w:rPr>
          <w:rFonts w:asciiTheme="minorEastAsia" w:hAnsiTheme="minorEastAsia"/>
          <w:bCs/>
          <w:sz w:val="24"/>
          <w:highlight w:val="none"/>
        </w:rPr>
      </w:pPr>
      <w:r>
        <w:rPr>
          <w:rFonts w:asciiTheme="minorEastAsia" w:hAnsiTheme="minorEastAsia"/>
          <w:bCs/>
          <w:sz w:val="24"/>
          <w:highlight w:val="none"/>
        </w:rPr>
        <w:t xml:space="preserve">1. </w:t>
      </w:r>
      <w:r>
        <w:rPr>
          <w:rFonts w:hint="eastAsia" w:asciiTheme="minorEastAsia" w:hAnsiTheme="minorEastAsia"/>
          <w:bCs/>
          <w:sz w:val="24"/>
          <w:highlight w:val="none"/>
        </w:rPr>
        <w:t xml:space="preserve">对合同条款中的所有要求，除本表所列明的所有偏离外，均视作投标人已对之理解和响应。</w:t>
      </w:r>
      <w:r/>
    </w:p>
    <w:p>
      <w:pPr>
        <w:contextualSpacing/>
        <w:ind w:firstLine="480"/>
        <w:spacing w:line="360" w:lineRule="auto"/>
        <w:rPr>
          <w:rFonts w:ascii="宋体" w:hAnsi="宋体" w:cs="宋体"/>
          <w:bCs/>
          <w:sz w:val="24"/>
          <w:highlight w:val="none"/>
        </w:rPr>
      </w:pPr>
      <w:r>
        <w:rPr>
          <w:rFonts w:asciiTheme="minorEastAsia" w:hAnsiTheme="minorEastAsia"/>
          <w:bCs/>
          <w:sz w:val="24"/>
          <w:highlight w:val="none"/>
        </w:rPr>
        <w:t xml:space="preserve">2. </w:t>
      </w:r>
      <w:r>
        <w:rPr>
          <w:rFonts w:hint="eastAsia" w:asciiTheme="minorEastAsia" w:hAnsiTheme="minorEastAsia"/>
          <w:bCs/>
          <w:sz w:val="24"/>
          <w:highlight w:val="none"/>
        </w:rPr>
        <w:t xml:space="preserve">“偏离情况”列应据实填写“正偏离”或“负偏离”。</w:t>
      </w:r>
      <w:r/>
    </w:p>
    <w:p>
      <w:pPr>
        <w:contextualSpacing/>
        <w:ind w:firstLine="480"/>
        <w:spacing w:line="360" w:lineRule="auto"/>
        <w:rPr>
          <w:rFonts w:ascii="宋体" w:hAnsi="宋体" w:cs="宋体"/>
          <w:bCs/>
          <w:sz w:val="24"/>
          <w:highlight w:val="none"/>
        </w:rPr>
      </w:pPr>
      <w:r>
        <w:rPr>
          <w:rFonts w:ascii="宋体" w:hAnsi="宋体" w:cs="宋体"/>
          <w:bCs/>
          <w:sz w:val="24"/>
          <w:highlight w:val="none"/>
        </w:rPr>
      </w:r>
      <w:r/>
    </w:p>
    <w:p>
      <w:pPr>
        <w:contextualSpacing/>
        <w:ind w:firstLine="480"/>
        <w:spacing w:line="360" w:lineRule="auto"/>
        <w:rPr>
          <w:rFonts w:ascii="宋体" w:hAnsi="宋体" w:cs="宋体"/>
          <w:bCs/>
          <w:sz w:val="24"/>
          <w:highlight w:val="none"/>
        </w:rPr>
      </w:pPr>
      <w:r>
        <w:rPr>
          <w:rFonts w:ascii="宋体" w:hAnsi="宋体" w:cs="宋体"/>
          <w:bCs/>
          <w:sz w:val="24"/>
          <w:highlight w:val="none"/>
        </w:rPr>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投标人名称（加盖公章）：    ____________</w:t>
      </w:r>
      <w:r/>
    </w:p>
    <w:p>
      <w:pPr>
        <w:contextualSpacing/>
        <w:ind w:firstLine="480"/>
        <w:spacing w:line="360" w:lineRule="auto"/>
        <w:rPr>
          <w:rFonts w:ascii="宋体" w:hAnsi="宋体" w:cs="宋体"/>
          <w:bCs/>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highlight w:val="none"/>
        </w:rPr>
        <w:t xml:space="preserve">日期：_____年______月______日</w:t>
      </w:r>
      <w:r/>
    </w:p>
    <w:p>
      <w:pPr>
        <w:ind w:left="228" w:hanging="228"/>
        <w:spacing w:line="360" w:lineRule="auto"/>
        <w:rPr>
          <w:rFonts w:ascii="宋体" w:hAnsi="宋体" w:cs="宋体"/>
          <w:sz w:val="24"/>
          <w:szCs w:val="20"/>
          <w:highlight w:val="none"/>
        </w:rPr>
        <w:outlineLvl w:val="2"/>
      </w:pPr>
      <w:r>
        <w:rPr>
          <w:rFonts w:hint="eastAsia" w:ascii="宋体" w:hAnsi="宋体" w:cs="宋体"/>
          <w:sz w:val="24"/>
          <w:szCs w:val="20"/>
          <w:highlight w:val="none"/>
          <w:lang w:val="en-US" w:eastAsia="zh-CN"/>
        </w:rPr>
        <w:t xml:space="preserve">6</w:t>
      </w:r>
      <w:r>
        <w:rPr>
          <w:rFonts w:hint="eastAsia" w:ascii="宋体" w:hAnsi="宋体" w:cs="宋体"/>
          <w:sz w:val="24"/>
          <w:szCs w:val="20"/>
          <w:highlight w:val="none"/>
        </w:rPr>
        <w:t xml:space="preserve"> 采购需求偏离表</w:t>
      </w:r>
      <w:r/>
    </w:p>
    <w:p>
      <w:pPr>
        <w:ind w:left="267" w:hanging="267"/>
        <w:jc w:val="center"/>
        <w:spacing w:line="360" w:lineRule="auto"/>
        <w:rPr>
          <w:rFonts w:ascii="宋体" w:hAnsi="宋体" w:cs="宋体"/>
          <w:b/>
          <w:sz w:val="28"/>
          <w:szCs w:val="28"/>
          <w:highlight w:val="none"/>
        </w:rPr>
      </w:pPr>
      <w:r>
        <w:rPr>
          <w:rFonts w:hint="eastAsia" w:ascii="宋体" w:hAnsi="宋体" w:cs="宋体"/>
          <w:b/>
          <w:sz w:val="28"/>
          <w:szCs w:val="28"/>
          <w:highlight w:val="none"/>
        </w:rPr>
        <w:t xml:space="preserve">采购需求偏离表</w:t>
      </w:r>
      <w:r/>
    </w:p>
    <w:p>
      <w:pPr>
        <w:contextualSpacing/>
        <w:ind w:left="228" w:hanging="228"/>
        <w:jc w:val="left"/>
        <w:spacing w:line="360" w:lineRule="auto"/>
        <w:rPr>
          <w:rFonts w:ascii="宋体" w:hAnsi="宋体" w:cs="宋体"/>
          <w:bCs/>
          <w:sz w:val="24"/>
          <w:highlight w:val="none"/>
        </w:rPr>
      </w:pPr>
      <w:r>
        <w:rPr>
          <w:rFonts w:hint="eastAsia" w:ascii="宋体" w:hAnsi="宋体" w:cs="宋体"/>
          <w:bCs/>
          <w:sz w:val="24"/>
          <w:highlight w:val="none"/>
        </w:rPr>
        <w:t xml:space="preserve">项目编号/包号：_____________________项目名称_______________________</w:t>
      </w:r>
      <w:r/>
    </w:p>
    <w:p>
      <w:pPr>
        <w:contextualSpacing/>
        <w:ind w:left="228" w:hanging="228"/>
        <w:jc w:val="left"/>
        <w:spacing w:line="360" w:lineRule="auto"/>
        <w:rPr>
          <w:rFonts w:ascii="宋体" w:hAnsi="宋体" w:cs="宋体"/>
          <w:bCs/>
          <w:sz w:val="24"/>
          <w:highlight w:val="none"/>
        </w:rPr>
      </w:pPr>
      <w:r>
        <w:rPr>
          <w:rFonts w:ascii="宋体" w:hAnsi="宋体" w:cs="宋体"/>
          <w:bCs/>
          <w:sz w:val="24"/>
          <w:highlight w:val="none"/>
        </w:rPr>
      </w:r>
      <w:r/>
    </w:p>
    <w:tbl>
      <w:tblPr>
        <w:tblStyle w:val="9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1860"/>
        <w:gridCol w:w="1596"/>
        <w:gridCol w:w="1581"/>
        <w:gridCol w:w="1604"/>
        <w:gridCol w:w="858"/>
      </w:tblGrid>
      <w:tr>
        <w:trPr>
          <w:jc w:val="center"/>
          <w:trHeight w:val="930"/>
        </w:trPr>
        <w:tc>
          <w:tcPr>
            <w:gridSpan w:val="6"/>
            <w:tcW w:w="8296" w:type="dxa"/>
            <w:vAlign w:val="center"/>
            <w:textDirection w:val="lrTb"/>
            <w:noWrap w:val="false"/>
          </w:tcPr>
          <w:p>
            <w:pPr>
              <w:contextualSpacing/>
              <w:ind w:left="228" w:hanging="228"/>
              <w:jc w:val="left"/>
              <w:spacing w:line="276" w:lineRule="auto"/>
              <w:rPr>
                <w:rFonts w:hint="eastAsia" w:ascii="等线" w:hAnsi="等线"/>
                <w:bCs/>
                <w:color w:val="auto"/>
                <w:sz w:val="24"/>
                <w:highlight w:val="none"/>
              </w:rPr>
            </w:pPr>
            <w:r>
              <w:rPr>
                <w:rFonts w:hint="eastAsia" w:ascii="等线" w:hAnsi="等线"/>
                <w:bCs/>
                <w:color w:val="auto"/>
                <w:sz w:val="24"/>
                <w:highlight w:val="none"/>
              </w:rPr>
              <w:t xml:space="preserve">对本项目采购需求偏离情况（请进行勾选）：</w:t>
            </w:r>
            <w:r/>
          </w:p>
          <w:p>
            <w:pPr>
              <w:contextualSpacing/>
              <w:ind w:left="228" w:hanging="228"/>
              <w:jc w:val="left"/>
              <w:spacing w:line="276" w:lineRule="auto"/>
              <w:rPr>
                <w:rFonts w:hint="eastAsia" w:ascii="等线" w:hAnsi="等线"/>
                <w:bCs/>
                <w:color w:val="auto"/>
                <w:sz w:val="24"/>
                <w:highlight w:val="none"/>
              </w:rPr>
            </w:pPr>
            <w:r>
              <w:rPr>
                <w:rFonts w:ascii="等线" w:hAnsi="等线"/>
                <w:bCs/>
                <w:color w:val="auto"/>
                <w:sz w:val="24"/>
                <w:highlight w:val="none"/>
              </w:rPr>
              <w:t xml:space="preserve">□无偏离（如无偏离，仅勾选无偏离即可）</w:t>
            </w:r>
            <w:r/>
          </w:p>
          <w:p>
            <w:pPr>
              <w:contextualSpacing/>
              <w:jc w:val="left"/>
              <w:spacing w:line="276" w:lineRule="auto"/>
              <w:rPr>
                <w:rFonts w:hint="eastAsia" w:asciiTheme="minorEastAsia" w:hAnsiTheme="minorEastAsia"/>
                <w:bCs/>
                <w:color w:val="auto"/>
                <w:sz w:val="24"/>
                <w:highlight w:val="none"/>
              </w:rPr>
            </w:pPr>
            <w:r>
              <w:rPr>
                <w:rFonts w:ascii="等线" w:hAnsi="等线"/>
                <w:bCs/>
                <w:color w:val="auto"/>
                <w:sz w:val="24"/>
                <w:highlight w:val="none"/>
              </w:rPr>
              <w:t xml:space="preserve">□有偏离（如有偏离，则须在本表中对偏离项逐一列明）</w:t>
            </w:r>
            <w:r/>
          </w:p>
        </w:tc>
      </w:tr>
      <w:tr>
        <w:trPr>
          <w:jc w:val="center"/>
          <w:trHeight w:val="930"/>
        </w:trPr>
        <w:tc>
          <w:tcPr>
            <w:tcW w:w="797"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asciiTheme="minorEastAsia" w:hAnsiTheme="minorEastAsia"/>
                <w:bCs/>
                <w:color w:val="auto"/>
                <w:sz w:val="24"/>
                <w:highlight w:val="none"/>
              </w:rPr>
              <w:t xml:space="preserve">序号</w:t>
            </w:r>
            <w:r/>
          </w:p>
        </w:tc>
        <w:tc>
          <w:tcPr>
            <w:tcW w:w="1860"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hint="eastAsia" w:ascii="宋体" w:hAnsi="宋体" w:cs="宋体"/>
                <w:bCs/>
                <w:sz w:val="24"/>
                <w:highlight w:val="none"/>
              </w:rPr>
              <w:t xml:space="preserve">招标文件条目号（页码）</w:t>
            </w:r>
            <w:r/>
          </w:p>
        </w:tc>
        <w:tc>
          <w:tcPr>
            <w:tcW w:w="1596" w:type="dxa"/>
            <w:vAlign w:val="center"/>
            <w:textDirection w:val="lrTb"/>
            <w:noWrap w:val="false"/>
          </w:tcPr>
          <w:p>
            <w:pPr>
              <w:contextualSpacing/>
              <w:ind w:left="228" w:hanging="228"/>
              <w:jc w:val="center"/>
              <w:spacing w:line="360" w:lineRule="auto"/>
              <w:rPr>
                <w:rFonts w:hint="eastAsia" w:asciiTheme="minorEastAsia" w:hAnsiTheme="minorEastAsia"/>
                <w:bCs/>
                <w:color w:val="auto"/>
                <w:sz w:val="24"/>
                <w:highlight w:val="none"/>
              </w:rPr>
            </w:pPr>
            <w:r>
              <w:rPr>
                <w:rFonts w:hint="eastAsia" w:ascii="宋体" w:hAnsi="宋体" w:cs="宋体"/>
                <w:bCs/>
                <w:sz w:val="24"/>
                <w:highlight w:val="none"/>
              </w:rPr>
              <w:t xml:space="preserve">招标文件要求</w:t>
            </w:r>
            <w:r/>
          </w:p>
        </w:tc>
        <w:tc>
          <w:tcPr>
            <w:tcW w:w="1581" w:type="dxa"/>
            <w:vAlign w:val="center"/>
            <w:textDirection w:val="lrTb"/>
            <w:noWrap w:val="false"/>
          </w:tcPr>
          <w:p>
            <w:pPr>
              <w:contextualSpacing/>
              <w:ind w:left="228" w:hanging="228"/>
              <w:jc w:val="center"/>
              <w:spacing w:line="360" w:lineRule="auto"/>
              <w:rPr>
                <w:rFonts w:hint="eastAsia" w:asciiTheme="minorEastAsia" w:hAnsiTheme="minorEastAsia"/>
                <w:bCs/>
                <w:color w:val="auto"/>
                <w:sz w:val="24"/>
                <w:highlight w:val="none"/>
              </w:rPr>
            </w:pPr>
            <w:r>
              <w:rPr>
                <w:rFonts w:hint="eastAsia" w:ascii="宋体" w:hAnsi="宋体" w:cs="宋体"/>
                <w:bCs/>
                <w:sz w:val="24"/>
                <w:highlight w:val="none"/>
              </w:rPr>
              <w:t xml:space="preserve">投标文件内容</w:t>
            </w:r>
            <w:r/>
          </w:p>
        </w:tc>
        <w:tc>
          <w:tcPr>
            <w:tcW w:w="1604"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asciiTheme="minorEastAsia" w:hAnsiTheme="minorEastAsia"/>
                <w:bCs/>
                <w:color w:val="auto"/>
                <w:sz w:val="24"/>
                <w:highlight w:val="none"/>
              </w:rPr>
              <w:t xml:space="preserve">偏离</w:t>
            </w:r>
            <w:r>
              <w:rPr>
                <w:rFonts w:hint="eastAsia" w:asciiTheme="minorEastAsia" w:hAnsiTheme="minorEastAsia"/>
                <w:bCs/>
                <w:color w:val="auto"/>
                <w:sz w:val="24"/>
                <w:highlight w:val="none"/>
                <w:lang w:val="en-US" w:eastAsia="zh-CN"/>
              </w:rPr>
              <w:t xml:space="preserve">情况</w:t>
            </w:r>
            <w:r>
              <w:rPr>
                <w:rFonts w:asciiTheme="minorEastAsia" w:hAnsiTheme="minorEastAsia"/>
                <w:bCs/>
                <w:color w:val="auto"/>
                <w:sz w:val="24"/>
                <w:highlight w:val="none"/>
              </w:rPr>
              <w:t xml:space="preserve">（据实填写）</w:t>
            </w:r>
            <w:r/>
          </w:p>
        </w:tc>
        <w:tc>
          <w:tcPr>
            <w:tcW w:w="858" w:type="dxa"/>
            <w:vAlign w:val="center"/>
            <w:textDirection w:val="lrTb"/>
            <w:noWrap w:val="false"/>
          </w:tcPr>
          <w:p>
            <w:pPr>
              <w:contextualSpacing/>
              <w:jc w:val="center"/>
              <w:spacing w:line="360" w:lineRule="auto"/>
              <w:rPr>
                <w:rFonts w:hint="eastAsia" w:asciiTheme="minorEastAsia" w:hAnsiTheme="minorEastAsia"/>
                <w:bCs/>
                <w:color w:val="auto"/>
                <w:sz w:val="24"/>
                <w:highlight w:val="none"/>
              </w:rPr>
            </w:pPr>
            <w:r>
              <w:rPr>
                <w:rFonts w:asciiTheme="minorEastAsia" w:hAnsiTheme="minorEastAsia"/>
                <w:bCs/>
                <w:color w:val="auto"/>
                <w:sz w:val="24"/>
                <w:highlight w:val="none"/>
              </w:rPr>
              <w:t xml:space="preserve">说明</w:t>
            </w:r>
            <w:r/>
          </w:p>
        </w:tc>
      </w:tr>
      <w:tr>
        <w:trPr>
          <w:jc w:val="center"/>
          <w:trHeight w:val="930"/>
        </w:trPr>
        <w:tc>
          <w:tcPr>
            <w:tcW w:w="797" w:type="dxa"/>
            <w:vAlign w:val="center"/>
            <w:textDirection w:val="lrTb"/>
            <w:noWrap w:val="false"/>
          </w:tcPr>
          <w:p>
            <w:pPr>
              <w:contextualSpacing/>
              <w:jc w:val="left"/>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860" w:type="dxa"/>
            <w:vAlign w:val="center"/>
            <w:textDirection w:val="lrTb"/>
            <w:noWrap w:val="false"/>
          </w:tcPr>
          <w:p>
            <w:pPr>
              <w:contextualSpacing/>
              <w:jc w:val="left"/>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596" w:type="dxa"/>
            <w:vAlign w:val="center"/>
            <w:textDirection w:val="lrTb"/>
            <w:noWrap w:val="false"/>
          </w:tcPr>
          <w:p>
            <w:pPr>
              <w:contextualSpacing/>
              <w:jc w:val="left"/>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581" w:type="dxa"/>
            <w:vAlign w:val="center"/>
            <w:textDirection w:val="lrTb"/>
            <w:noWrap w:val="false"/>
          </w:tcPr>
          <w:p>
            <w:pPr>
              <w:contextualSpacing/>
              <w:jc w:val="left"/>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604" w:type="dxa"/>
            <w:vAlign w:val="center"/>
            <w:textDirection w:val="lrTb"/>
            <w:noWrap w:val="false"/>
          </w:tcPr>
          <w:p>
            <w:pPr>
              <w:contextualSpacing/>
              <w:jc w:val="left"/>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858" w:type="dxa"/>
            <w:vAlign w:val="center"/>
            <w:textDirection w:val="lrTb"/>
            <w:noWrap w:val="false"/>
          </w:tcPr>
          <w:p>
            <w:pPr>
              <w:contextualSpacing/>
              <w:jc w:val="left"/>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r>
      <w:tr>
        <w:trPr>
          <w:jc w:val="center"/>
          <w:trHeight w:val="930"/>
        </w:trPr>
        <w:tc>
          <w:tcPr>
            <w:tcW w:w="797" w:type="dxa"/>
            <w:vAlign w:val="center"/>
            <w:textDirection w:val="lrTb"/>
            <w:noWrap w:val="false"/>
          </w:tcPr>
          <w:p>
            <w:pPr>
              <w:contextualSpacing/>
              <w:jc w:val="left"/>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860" w:type="dxa"/>
            <w:vAlign w:val="center"/>
            <w:textDirection w:val="lrTb"/>
            <w:noWrap w:val="false"/>
          </w:tcPr>
          <w:p>
            <w:pPr>
              <w:contextualSpacing/>
              <w:jc w:val="left"/>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596" w:type="dxa"/>
            <w:vAlign w:val="center"/>
            <w:textDirection w:val="lrTb"/>
            <w:noWrap w:val="false"/>
          </w:tcPr>
          <w:p>
            <w:pPr>
              <w:contextualSpacing/>
              <w:jc w:val="left"/>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581" w:type="dxa"/>
            <w:vAlign w:val="center"/>
            <w:textDirection w:val="lrTb"/>
            <w:noWrap w:val="false"/>
          </w:tcPr>
          <w:p>
            <w:pPr>
              <w:contextualSpacing/>
              <w:jc w:val="left"/>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604" w:type="dxa"/>
            <w:vAlign w:val="center"/>
            <w:textDirection w:val="lrTb"/>
            <w:noWrap w:val="false"/>
          </w:tcPr>
          <w:p>
            <w:pPr>
              <w:contextualSpacing/>
              <w:jc w:val="left"/>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858" w:type="dxa"/>
            <w:vAlign w:val="center"/>
            <w:textDirection w:val="lrTb"/>
            <w:noWrap w:val="false"/>
          </w:tcPr>
          <w:p>
            <w:pPr>
              <w:contextualSpacing/>
              <w:jc w:val="left"/>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r>
      <w:tr>
        <w:trPr>
          <w:jc w:val="center"/>
          <w:trHeight w:val="930"/>
        </w:trPr>
        <w:tc>
          <w:tcPr>
            <w:tcW w:w="797" w:type="dxa"/>
            <w:vAlign w:val="center"/>
            <w:textDirection w:val="lrTb"/>
            <w:noWrap w:val="false"/>
          </w:tcPr>
          <w:p>
            <w:pPr>
              <w:contextualSpacing/>
              <w:jc w:val="left"/>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860" w:type="dxa"/>
            <w:vAlign w:val="center"/>
            <w:textDirection w:val="lrTb"/>
            <w:noWrap w:val="false"/>
          </w:tcPr>
          <w:p>
            <w:pPr>
              <w:contextualSpacing/>
              <w:jc w:val="left"/>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596" w:type="dxa"/>
            <w:vAlign w:val="center"/>
            <w:textDirection w:val="lrTb"/>
            <w:noWrap w:val="false"/>
          </w:tcPr>
          <w:p>
            <w:pPr>
              <w:contextualSpacing/>
              <w:jc w:val="left"/>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581" w:type="dxa"/>
            <w:vAlign w:val="center"/>
            <w:textDirection w:val="lrTb"/>
            <w:noWrap w:val="false"/>
          </w:tcPr>
          <w:p>
            <w:pPr>
              <w:contextualSpacing/>
              <w:jc w:val="left"/>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604" w:type="dxa"/>
            <w:vAlign w:val="center"/>
            <w:textDirection w:val="lrTb"/>
            <w:noWrap w:val="false"/>
          </w:tcPr>
          <w:p>
            <w:pPr>
              <w:contextualSpacing/>
              <w:jc w:val="left"/>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858" w:type="dxa"/>
            <w:vAlign w:val="center"/>
            <w:textDirection w:val="lrTb"/>
            <w:noWrap w:val="false"/>
          </w:tcPr>
          <w:p>
            <w:pPr>
              <w:contextualSpacing/>
              <w:jc w:val="left"/>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r>
      <w:tr>
        <w:trPr>
          <w:jc w:val="center"/>
          <w:trHeight w:val="930"/>
        </w:trPr>
        <w:tc>
          <w:tcPr>
            <w:tcW w:w="797" w:type="dxa"/>
            <w:vAlign w:val="center"/>
            <w:textDirection w:val="lrTb"/>
            <w:noWrap w:val="false"/>
          </w:tcPr>
          <w:p>
            <w:pPr>
              <w:contextualSpacing/>
              <w:jc w:val="left"/>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860" w:type="dxa"/>
            <w:vAlign w:val="center"/>
            <w:textDirection w:val="lrTb"/>
            <w:noWrap w:val="false"/>
          </w:tcPr>
          <w:p>
            <w:pPr>
              <w:contextualSpacing/>
              <w:jc w:val="left"/>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596" w:type="dxa"/>
            <w:vAlign w:val="center"/>
            <w:textDirection w:val="lrTb"/>
            <w:noWrap w:val="false"/>
          </w:tcPr>
          <w:p>
            <w:pPr>
              <w:contextualSpacing/>
              <w:jc w:val="left"/>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581" w:type="dxa"/>
            <w:vAlign w:val="center"/>
            <w:textDirection w:val="lrTb"/>
            <w:noWrap w:val="false"/>
          </w:tcPr>
          <w:p>
            <w:pPr>
              <w:contextualSpacing/>
              <w:jc w:val="left"/>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604" w:type="dxa"/>
            <w:vAlign w:val="center"/>
            <w:textDirection w:val="lrTb"/>
            <w:noWrap w:val="false"/>
          </w:tcPr>
          <w:p>
            <w:pPr>
              <w:contextualSpacing/>
              <w:jc w:val="left"/>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858" w:type="dxa"/>
            <w:vAlign w:val="center"/>
            <w:textDirection w:val="lrTb"/>
            <w:noWrap w:val="false"/>
          </w:tcPr>
          <w:p>
            <w:pPr>
              <w:contextualSpacing/>
              <w:jc w:val="left"/>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r>
      <w:tr>
        <w:trPr>
          <w:jc w:val="center"/>
          <w:trHeight w:val="930"/>
        </w:trPr>
        <w:tc>
          <w:tcPr>
            <w:tcW w:w="797" w:type="dxa"/>
            <w:vAlign w:val="center"/>
            <w:textDirection w:val="lrTb"/>
            <w:noWrap w:val="false"/>
          </w:tcPr>
          <w:p>
            <w:pPr>
              <w:contextualSpacing/>
              <w:jc w:val="left"/>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860" w:type="dxa"/>
            <w:vAlign w:val="center"/>
            <w:textDirection w:val="lrTb"/>
            <w:noWrap w:val="false"/>
          </w:tcPr>
          <w:p>
            <w:pPr>
              <w:contextualSpacing/>
              <w:jc w:val="left"/>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596" w:type="dxa"/>
            <w:vAlign w:val="center"/>
            <w:textDirection w:val="lrTb"/>
            <w:noWrap w:val="false"/>
          </w:tcPr>
          <w:p>
            <w:pPr>
              <w:contextualSpacing/>
              <w:jc w:val="left"/>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581" w:type="dxa"/>
            <w:vAlign w:val="center"/>
            <w:textDirection w:val="lrTb"/>
            <w:noWrap w:val="false"/>
          </w:tcPr>
          <w:p>
            <w:pPr>
              <w:contextualSpacing/>
              <w:jc w:val="left"/>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1604" w:type="dxa"/>
            <w:vAlign w:val="center"/>
            <w:textDirection w:val="lrTb"/>
            <w:noWrap w:val="false"/>
          </w:tcPr>
          <w:p>
            <w:pPr>
              <w:contextualSpacing/>
              <w:jc w:val="left"/>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c>
          <w:tcPr>
            <w:tcW w:w="858" w:type="dxa"/>
            <w:vAlign w:val="center"/>
            <w:textDirection w:val="lrTb"/>
            <w:noWrap w:val="false"/>
          </w:tcPr>
          <w:p>
            <w:pPr>
              <w:contextualSpacing/>
              <w:jc w:val="left"/>
              <w:spacing w:line="360" w:lineRule="auto"/>
              <w:rPr>
                <w:rFonts w:hint="eastAsia" w:asciiTheme="minorEastAsia" w:hAnsiTheme="minorEastAsia"/>
                <w:bCs/>
                <w:color w:val="auto"/>
                <w:sz w:val="24"/>
                <w:highlight w:val="none"/>
              </w:rPr>
            </w:pPr>
            <w:r>
              <w:rPr>
                <w:rFonts w:hint="eastAsia" w:asciiTheme="minorEastAsia" w:hAnsiTheme="minorEastAsia"/>
                <w:bCs/>
                <w:color w:val="auto"/>
                <w:sz w:val="24"/>
                <w:highlight w:val="none"/>
              </w:rPr>
            </w:r>
            <w:r/>
          </w:p>
        </w:tc>
      </w:tr>
    </w:tbl>
    <w:p>
      <w:pPr>
        <w:pStyle w:val="1000"/>
        <w:rPr>
          <w:highlight w:val="none"/>
        </w:rPr>
      </w:pPr>
      <w:r>
        <w:rPr>
          <w:highlight w:val="none"/>
        </w:rPr>
      </w:r>
      <w:r/>
    </w:p>
    <w:p>
      <w:pPr>
        <w:pStyle w:val="1000"/>
        <w:rPr>
          <w:highlight w:val="none"/>
        </w:rPr>
      </w:pPr>
      <w:r>
        <w:rPr>
          <w:highlight w:val="none"/>
        </w:rPr>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注：</w:t>
      </w:r>
      <w:r/>
    </w:p>
    <w:p>
      <w:pPr>
        <w:contextualSpacing/>
        <w:ind w:firstLine="480"/>
        <w:spacing w:line="360" w:lineRule="auto"/>
        <w:rPr>
          <w:rFonts w:asciiTheme="minorEastAsia" w:hAnsiTheme="minorEastAsia"/>
          <w:bCs/>
          <w:sz w:val="24"/>
          <w:highlight w:val="none"/>
        </w:rPr>
      </w:pPr>
      <w:r>
        <w:rPr>
          <w:rFonts w:hint="eastAsia" w:asciiTheme="minorEastAsia" w:hAnsiTheme="minorEastAsia"/>
          <w:bCs/>
          <w:sz w:val="24"/>
          <w:highlight w:val="none"/>
        </w:rPr>
        <w:t xml:space="preserve">1</w:t>
      </w:r>
      <w:r>
        <w:rPr>
          <w:rFonts w:asciiTheme="minorEastAsia" w:hAnsiTheme="minorEastAsia"/>
          <w:bCs/>
          <w:sz w:val="24"/>
          <w:highlight w:val="none"/>
        </w:rPr>
        <w:t xml:space="preserve">. 对招标文件中的所有商务、技术要求，除本表所列明的所有偏离外，均视作</w:t>
      </w:r>
      <w:r>
        <w:rPr>
          <w:rFonts w:hint="eastAsia" w:asciiTheme="minorEastAsia" w:hAnsiTheme="minorEastAsia"/>
          <w:bCs/>
          <w:sz w:val="24"/>
          <w:highlight w:val="none"/>
        </w:rPr>
        <w:t xml:space="preserve">投标人</w:t>
      </w:r>
      <w:r>
        <w:rPr>
          <w:rFonts w:asciiTheme="minorEastAsia" w:hAnsiTheme="minorEastAsia"/>
          <w:bCs/>
          <w:sz w:val="24"/>
          <w:highlight w:val="none"/>
        </w:rPr>
        <w:t xml:space="preserve">已对之理解和</w:t>
      </w:r>
      <w:r>
        <w:rPr>
          <w:rFonts w:hint="eastAsia" w:asciiTheme="minorEastAsia" w:hAnsiTheme="minorEastAsia"/>
          <w:bCs/>
          <w:sz w:val="24"/>
          <w:highlight w:val="none"/>
        </w:rPr>
        <w:t xml:space="preserve">响应</w:t>
      </w:r>
      <w:r>
        <w:rPr>
          <w:rFonts w:asciiTheme="minorEastAsia" w:hAnsiTheme="minorEastAsia"/>
          <w:bCs/>
          <w:sz w:val="24"/>
          <w:highlight w:val="none"/>
        </w:rPr>
        <w:t xml:space="preserve">。</w:t>
      </w:r>
      <w:r>
        <w:rPr>
          <w:rFonts w:hint="eastAsia" w:asciiTheme="minorEastAsia" w:hAnsiTheme="minorEastAsia"/>
          <w:bCs/>
          <w:sz w:val="24"/>
          <w:highlight w:val="none"/>
        </w:rPr>
        <w:t xml:space="preserve">此表中内容为空白，投标无效。</w:t>
      </w:r>
      <w:r/>
    </w:p>
    <w:p>
      <w:pPr>
        <w:contextualSpacing/>
        <w:ind w:firstLine="480"/>
        <w:spacing w:line="360" w:lineRule="auto"/>
        <w:rPr>
          <w:rFonts w:ascii="宋体" w:hAnsi="宋体" w:cs="宋体"/>
          <w:bCs/>
          <w:sz w:val="24"/>
          <w:highlight w:val="none"/>
        </w:rPr>
      </w:pPr>
      <w:r>
        <w:rPr>
          <w:rFonts w:asciiTheme="minorEastAsia" w:hAnsiTheme="minorEastAsia"/>
          <w:bCs/>
          <w:sz w:val="24"/>
          <w:highlight w:val="none"/>
        </w:rPr>
        <w:t xml:space="preserve">2.</w:t>
      </w:r>
      <w:r>
        <w:rPr>
          <w:rFonts w:hint="eastAsia" w:asciiTheme="minorEastAsia" w:hAnsiTheme="minorEastAsia"/>
          <w:bCs/>
          <w:sz w:val="24"/>
          <w:highlight w:val="none"/>
        </w:rPr>
        <w:t xml:space="preserve">“偏离情况”列应</w:t>
      </w:r>
      <w:r>
        <w:rPr>
          <w:rFonts w:asciiTheme="minorEastAsia" w:hAnsiTheme="minorEastAsia"/>
          <w:bCs/>
          <w:sz w:val="24"/>
          <w:highlight w:val="none"/>
        </w:rPr>
        <w:t xml:space="preserve">据实</w:t>
      </w:r>
      <w:r>
        <w:rPr>
          <w:rFonts w:hint="eastAsia" w:asciiTheme="minorEastAsia" w:hAnsiTheme="minorEastAsia"/>
          <w:bCs/>
          <w:sz w:val="24"/>
          <w:highlight w:val="none"/>
        </w:rPr>
        <w:t xml:space="preserve">填写“正偏离”或“负偏离”。</w:t>
      </w:r>
      <w:r/>
    </w:p>
    <w:p>
      <w:pPr>
        <w:contextualSpacing/>
        <w:ind w:firstLine="480"/>
        <w:spacing w:line="360" w:lineRule="auto"/>
        <w:rPr>
          <w:rFonts w:ascii="宋体" w:hAnsi="宋体" w:cs="宋体"/>
          <w:bCs/>
          <w:sz w:val="24"/>
          <w:highlight w:val="none"/>
        </w:rPr>
      </w:pPr>
      <w:r>
        <w:rPr>
          <w:rFonts w:ascii="宋体" w:hAnsi="宋体" w:cs="宋体"/>
          <w:bCs/>
          <w:sz w:val="24"/>
          <w:highlight w:val="none"/>
        </w:rPr>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投标人名称（加盖公章）：    ____________</w:t>
      </w:r>
      <w:r/>
    </w:p>
    <w:p>
      <w:pPr>
        <w:contextualSpacing/>
        <w:ind w:firstLine="480"/>
        <w:spacing w:line="360" w:lineRule="auto"/>
        <w:rPr>
          <w:rFonts w:hint="eastAsia" w:ascii="宋体" w:hAnsi="宋体" w:cs="宋体"/>
          <w:bCs/>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highlight w:val="none"/>
        </w:rPr>
        <w:t xml:space="preserve">日期：_____年______月______日</w:t>
      </w:r>
      <w:r/>
    </w:p>
    <w:p>
      <w:pPr>
        <w:ind w:left="228" w:hanging="228"/>
        <w:spacing w:line="360" w:lineRule="auto"/>
        <w:rPr>
          <w:rFonts w:hint="eastAsia" w:ascii="宋体" w:hAnsi="宋体" w:eastAsia="宋体" w:cs="宋体"/>
          <w:sz w:val="24"/>
          <w:szCs w:val="20"/>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outlineLvl w:val="2"/>
      </w:pPr>
      <w:r>
        <w:rPr>
          <w:rFonts w:hint="eastAsia" w:ascii="宋体" w:hAnsi="宋体" w:eastAsia="宋体" w:cs="宋体"/>
          <w:sz w:val="24"/>
          <w:szCs w:val="20"/>
          <w:highlight w:val="none"/>
          <w:lang w:val="en-US" w:eastAsia="zh-CN"/>
        </w:rPr>
        <w:t xml:space="preserve">7 </w:t>
      </w:r>
      <w:r>
        <w:rPr>
          <w:rFonts w:hint="eastAsia" w:ascii="宋体" w:hAnsi="宋体" w:eastAsia="宋体" w:cs="宋体"/>
          <w:sz w:val="24"/>
          <w:szCs w:val="20"/>
          <w:highlight w:val="none"/>
        </w:rPr>
        <w:t xml:space="preserve">第五章《采购需求》中★号条款</w:t>
      </w:r>
      <w:r>
        <w:rPr>
          <w:rFonts w:hint="eastAsia" w:ascii="宋体" w:hAnsi="宋体" w:eastAsia="宋体" w:cs="宋体"/>
          <w:sz w:val="24"/>
          <w:szCs w:val="20"/>
          <w:highlight w:val="none"/>
          <w:lang w:val="en-US" w:eastAsia="zh-CN"/>
        </w:rPr>
        <w:t xml:space="preserve">响应</w:t>
      </w:r>
      <w:r/>
    </w:p>
    <w:p>
      <w:pPr>
        <w:spacing w:line="360" w:lineRule="auto"/>
        <w:rPr>
          <w:rFonts w:ascii="宋体" w:hAnsi="宋体" w:cs="宋体"/>
          <w:sz w:val="24"/>
          <w:highlight w:val="none"/>
        </w:rPr>
        <w:outlineLvl w:val="2"/>
      </w:pP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 项目实施方案等，包括但不限于如下主题：</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1）项目组织实施方案；</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2）项目管理方案；</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3）拟达到的标准，配备的人员、设备配置等；</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4）培训方案、技术支持等方案；</w:t>
      </w:r>
      <w:r/>
    </w:p>
    <w:p>
      <w:pPr>
        <w:contextualSpacing/>
        <w:ind w:firstLine="480"/>
        <w:spacing w:line="360" w:lineRule="auto"/>
        <w:rPr>
          <w:rFonts w:ascii="宋体" w:hAnsi="宋体" w:cs="宋体"/>
          <w:bCs/>
          <w:sz w:val="24"/>
          <w:highlight w:val="none"/>
        </w:rPr>
      </w:pPr>
      <w:r>
        <w:rPr>
          <w:rFonts w:hint="eastAsia" w:ascii="宋体" w:hAnsi="宋体" w:cs="宋体"/>
          <w:bCs/>
          <w:sz w:val="24"/>
          <w:highlight w:val="none"/>
        </w:rPr>
        <w:t xml:space="preserve">5）优惠条款或承诺；</w:t>
      </w:r>
      <w:r/>
    </w:p>
    <w:p>
      <w:pPr>
        <w:contextualSpacing/>
        <w:ind w:firstLine="480"/>
        <w:spacing w:line="360" w:lineRule="auto"/>
        <w:rPr>
          <w:rFonts w:ascii="宋体" w:hAnsi="宋体" w:cs="宋体"/>
          <w:bCs/>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highlight w:val="none"/>
        </w:rPr>
        <w:t xml:space="preserve">6）其他。</w:t>
      </w:r>
      <w:r/>
    </w:p>
    <w:p>
      <w:pPr>
        <w:ind w:left="228" w:hanging="228"/>
        <w:spacing w:line="360" w:lineRule="auto"/>
        <w:rPr>
          <w:rFonts w:ascii="宋体" w:hAnsi="宋体" w:cs="宋体"/>
          <w:sz w:val="24"/>
          <w:highlight w:val="none"/>
        </w:rPr>
        <w:outlineLvl w:val="2"/>
      </w:pP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参加本项目人员一览表</w:t>
      </w:r>
      <w:r/>
    </w:p>
    <w:p>
      <w:pPr>
        <w:ind w:left="267" w:hanging="267"/>
        <w:jc w:val="center"/>
        <w:spacing w:line="360" w:lineRule="auto"/>
        <w:rPr>
          <w:rFonts w:ascii="宋体" w:hAnsi="宋体" w:cs="宋体"/>
          <w:b/>
          <w:sz w:val="28"/>
          <w:szCs w:val="28"/>
          <w:highlight w:val="none"/>
        </w:rPr>
      </w:pPr>
      <w:r>
        <w:rPr>
          <w:rFonts w:hint="eastAsia" w:ascii="宋体" w:hAnsi="宋体" w:cs="宋体"/>
          <w:b/>
          <w:sz w:val="28"/>
          <w:szCs w:val="28"/>
          <w:highlight w:val="none"/>
        </w:rPr>
        <w:t xml:space="preserve">参加本项目人员一览表</w:t>
      </w:r>
      <w:r/>
    </w:p>
    <w:p>
      <w:pPr>
        <w:contextualSpacing/>
        <w:ind w:left="228" w:hanging="228"/>
        <w:spacing w:line="360" w:lineRule="auto"/>
        <w:rPr>
          <w:rFonts w:ascii="宋体" w:hAnsi="宋体" w:cs="宋体"/>
          <w:bCs/>
          <w:sz w:val="24"/>
          <w:highlight w:val="none"/>
        </w:rPr>
      </w:pPr>
      <w:r>
        <w:rPr>
          <w:rFonts w:hint="eastAsia" w:ascii="宋体" w:hAnsi="宋体" w:cs="宋体"/>
          <w:bCs/>
          <w:sz w:val="24"/>
          <w:highlight w:val="none"/>
        </w:rPr>
        <w:t xml:space="preserve">项目编号： </w:t>
      </w:r>
      <w:r/>
    </w:p>
    <w:tbl>
      <w:tblPr>
        <w:tblStyle w:val="994"/>
        <w:tblW w:w="92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hint="eastAsia" w:ascii="宋体" w:hAnsi="宋体" w:cs="宋体"/>
                <w:bCs/>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hint="eastAsia" w:ascii="宋体" w:hAnsi="宋体" w:cs="宋体"/>
                <w:bCs/>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hint="eastAsia" w:ascii="宋体" w:hAnsi="宋体" w:cs="宋体"/>
                <w:bCs/>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hint="eastAsia" w:ascii="宋体" w:hAnsi="宋体" w:cs="宋体"/>
                <w:bCs/>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hint="eastAsia" w:ascii="宋体" w:hAnsi="宋体" w:cs="宋体"/>
                <w:bCs/>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hint="eastAsia" w:ascii="宋体" w:hAnsi="宋体" w:cs="宋体"/>
                <w:bCs/>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hint="eastAsia" w:ascii="宋体" w:hAnsi="宋体" w:cs="宋体"/>
                <w:bCs/>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hint="eastAsia" w:ascii="宋体" w:hAnsi="宋体" w:cs="宋体"/>
                <w:bCs/>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hint="eastAsia" w:ascii="宋体" w:hAnsi="宋体" w:cs="宋体"/>
                <w:bCs/>
                <w:sz w:val="24"/>
                <w:highlight w:val="none"/>
              </w:rPr>
              <w:t xml:space="preserve">责任</w:t>
            </w:r>
            <w:r/>
          </w:p>
          <w:p>
            <w:pPr>
              <w:contextualSpacing/>
              <w:ind w:left="228" w:hanging="228"/>
              <w:jc w:val="center"/>
              <w:spacing w:line="360" w:lineRule="auto"/>
              <w:rPr>
                <w:rFonts w:ascii="宋体" w:hAnsi="宋体" w:cs="宋体"/>
                <w:bCs/>
                <w:sz w:val="24"/>
                <w:highlight w:val="none"/>
              </w:rPr>
            </w:pPr>
            <w:r>
              <w:rPr>
                <w:rFonts w:hint="eastAsia" w:ascii="宋体" w:hAnsi="宋体" w:cs="宋体"/>
                <w:bCs/>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hint="eastAsia" w:ascii="宋体" w:hAnsi="宋体" w:cs="宋体"/>
                <w:bCs/>
                <w:sz w:val="24"/>
                <w:highlight w:val="none"/>
              </w:rPr>
              <w:t xml:space="preserve">项目经历或主要工作</w:t>
            </w:r>
            <w:r/>
          </w:p>
          <w:p>
            <w:pPr>
              <w:contextualSpacing/>
              <w:ind w:left="228" w:hanging="228"/>
              <w:jc w:val="center"/>
              <w:spacing w:line="360" w:lineRule="auto"/>
              <w:rPr>
                <w:rFonts w:ascii="宋体" w:hAnsi="宋体" w:cs="宋体"/>
                <w:bCs/>
                <w:sz w:val="24"/>
                <w:highlight w:val="none"/>
              </w:rPr>
            </w:pPr>
            <w:r>
              <w:rPr>
                <w:rFonts w:hint="eastAsia" w:ascii="宋体" w:hAnsi="宋体" w:cs="宋体"/>
                <w:bCs/>
                <w:sz w:val="24"/>
                <w:highlight w:val="none"/>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r>
    </w:tbl>
    <w:p>
      <w:pPr>
        <w:contextualSpacing/>
        <w:ind w:left="228" w:hanging="228"/>
        <w:spacing w:line="360" w:lineRule="auto"/>
        <w:rPr>
          <w:rFonts w:ascii="宋体" w:hAnsi="宋体" w:cs="宋体"/>
          <w:bCs/>
          <w:sz w:val="24"/>
          <w:highlight w:val="none"/>
        </w:rPr>
      </w:pPr>
      <w:r>
        <w:rPr>
          <w:rFonts w:ascii="宋体" w:hAnsi="宋体" w:cs="宋体"/>
          <w:bCs/>
          <w:sz w:val="24"/>
          <w:highlight w:val="none"/>
        </w:rPr>
      </w:r>
      <w:r/>
    </w:p>
    <w:p>
      <w:pPr>
        <w:contextualSpacing/>
        <w:ind w:left="228" w:hanging="228"/>
        <w:spacing w:line="360" w:lineRule="auto"/>
        <w:rPr>
          <w:rFonts w:ascii="宋体" w:hAnsi="宋体" w:cs="宋体"/>
          <w:bCs/>
          <w:sz w:val="24"/>
          <w:highlight w:val="none"/>
        </w:rPr>
      </w:pPr>
      <w:r>
        <w:rPr>
          <w:rFonts w:hint="eastAsia" w:ascii="宋体" w:hAnsi="宋体" w:cs="宋体"/>
          <w:bCs/>
          <w:sz w:val="24"/>
          <w:highlight w:val="none"/>
        </w:rPr>
        <w:t xml:space="preserve">注：参加本项目人员须是投标人正式职工。</w:t>
      </w:r>
      <w:r/>
    </w:p>
    <w:p>
      <w:pPr>
        <w:contextualSpacing/>
        <w:ind w:left="228" w:hanging="228"/>
        <w:spacing w:line="360" w:lineRule="auto"/>
        <w:rPr>
          <w:rFonts w:ascii="宋体" w:hAnsi="宋体" w:cs="宋体"/>
          <w:bCs/>
          <w:sz w:val="24"/>
          <w:highlight w:val="none"/>
        </w:rPr>
      </w:pPr>
      <w:r>
        <w:rPr>
          <w:rFonts w:ascii="宋体" w:hAnsi="宋体" w:cs="宋体"/>
          <w:bCs/>
          <w:sz w:val="24"/>
          <w:highlight w:val="none"/>
        </w:rPr>
      </w:r>
      <w:r/>
    </w:p>
    <w:p>
      <w:pPr>
        <w:contextualSpacing/>
        <w:ind w:left="228" w:hanging="228"/>
        <w:spacing w:line="360" w:lineRule="auto"/>
        <w:rPr>
          <w:rFonts w:ascii="宋体" w:hAnsi="宋体" w:cs="宋体"/>
          <w:bCs/>
          <w:sz w:val="24"/>
          <w:highlight w:val="none"/>
        </w:rPr>
      </w:pPr>
      <w:r>
        <w:rPr>
          <w:rFonts w:hint="eastAsia" w:ascii="宋体" w:hAnsi="宋体" w:cs="宋体"/>
          <w:bCs/>
          <w:sz w:val="24"/>
          <w:highlight w:val="none"/>
        </w:rPr>
        <w:t xml:space="preserve">投标人名称（加盖公章）：    ____________</w:t>
      </w:r>
      <w:r/>
    </w:p>
    <w:p>
      <w:pPr>
        <w:contextualSpacing/>
        <w:ind w:left="228" w:hanging="228"/>
        <w:spacing w:line="360" w:lineRule="auto"/>
        <w:rPr>
          <w:rFonts w:ascii="宋体" w:hAnsi="宋体" w:cs="宋体"/>
          <w:bCs/>
          <w:sz w:val="24"/>
          <w:highlight w:val="none"/>
        </w:rPr>
      </w:pPr>
      <w:r>
        <w:rPr>
          <w:rFonts w:hint="eastAsia" w:ascii="宋体" w:hAnsi="宋体" w:cs="宋体"/>
          <w:bCs/>
          <w:sz w:val="24"/>
          <w:highlight w:val="none"/>
        </w:rPr>
        <w:t xml:space="preserve">日期：_____年______月______日   </w:t>
      </w:r>
      <w:bookmarkStart w:id="535" w:name="_Toc288738397"/>
      <w:r/>
      <w:bookmarkStart w:id="536" w:name="_Toc288738839"/>
      <w:r/>
      <w:r/>
    </w:p>
    <w:p>
      <w:pPr>
        <w:ind w:left="228" w:hanging="228"/>
        <w:spacing w:line="360" w:lineRule="auto"/>
        <w:rPr>
          <w:rFonts w:ascii="宋体" w:hAnsi="宋体" w:cs="宋体"/>
          <w:sz w:val="24"/>
          <w:highlight w:val="none"/>
        </w:rPr>
        <w:outlineLvl w:val="2"/>
      </w:pPr>
      <w:r>
        <w:rPr>
          <w:rFonts w:hint="eastAsia" w:ascii="宋体" w:hAnsi="宋体" w:cs="宋体"/>
          <w:sz w:val="24"/>
          <w:highlight w:val="none"/>
        </w:rPr>
        <w:br w:type="page" w:clear="all"/>
      </w:r>
      <w:r>
        <w:rPr>
          <w:rFonts w:hint="eastAsia" w:ascii="宋体" w:hAnsi="宋体" w:cs="宋体"/>
          <w:sz w:val="24"/>
          <w:highlight w:val="none"/>
        </w:rPr>
        <w:t xml:space="preserve">10相关业绩案例一览表</w:t>
      </w:r>
      <w:r/>
    </w:p>
    <w:p>
      <w:pPr>
        <w:ind w:left="267" w:hanging="267"/>
        <w:jc w:val="center"/>
        <w:spacing w:line="360" w:lineRule="auto"/>
        <w:rPr>
          <w:rFonts w:ascii="宋体" w:hAnsi="宋体" w:cs="宋体"/>
          <w:b/>
          <w:sz w:val="28"/>
          <w:szCs w:val="28"/>
          <w:highlight w:val="none"/>
        </w:rPr>
      </w:pPr>
      <w:r>
        <w:rPr>
          <w:rFonts w:hint="eastAsia" w:ascii="宋体" w:hAnsi="宋体" w:cs="宋体"/>
          <w:b/>
          <w:sz w:val="28"/>
          <w:szCs w:val="28"/>
          <w:highlight w:val="none"/>
        </w:rPr>
        <w:t xml:space="preserve">相关业绩案例一览表</w:t>
      </w:r>
      <w:bookmarkEnd w:id="535"/>
      <w:r/>
      <w:bookmarkEnd w:id="536"/>
      <w:r/>
      <w:r/>
    </w:p>
    <w:p>
      <w:pPr>
        <w:contextualSpacing/>
        <w:ind w:left="228" w:hanging="228"/>
        <w:spacing w:line="360" w:lineRule="auto"/>
        <w:rPr>
          <w:rFonts w:ascii="宋体" w:hAnsi="宋体" w:cs="宋体"/>
          <w:bCs/>
          <w:sz w:val="24"/>
          <w:highlight w:val="none"/>
        </w:rPr>
      </w:pPr>
      <w:r>
        <w:rPr>
          <w:rFonts w:hint="eastAsia" w:ascii="宋体" w:hAnsi="宋体" w:cs="宋体"/>
          <w:bCs/>
          <w:sz w:val="24"/>
          <w:highlight w:val="none"/>
        </w:rPr>
        <w:t xml:space="preserve">项目编号：                   </w:t>
      </w:r>
      <w:r/>
    </w:p>
    <w:tbl>
      <w:tblPr>
        <w:tblStyle w:val="994"/>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hint="eastAsia" w:ascii="宋体" w:hAnsi="宋体" w:cs="宋体"/>
                <w:bCs/>
                <w:sz w:val="24"/>
                <w:highlight w:val="none"/>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hint="eastAsia" w:ascii="宋体" w:hAnsi="宋体" w:cs="宋体"/>
                <w:bCs/>
                <w:sz w:val="24"/>
                <w:highlight w:val="none"/>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hint="eastAsia" w:ascii="宋体" w:hAnsi="宋体" w:cs="宋体"/>
                <w:bCs/>
                <w:sz w:val="24"/>
                <w:highlight w:val="none"/>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hint="eastAsia" w:ascii="宋体" w:hAnsi="宋体" w:cs="宋体"/>
                <w:bCs/>
                <w:sz w:val="24"/>
                <w:highlight w:val="none"/>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hint="eastAsia" w:ascii="宋体" w:hAnsi="宋体" w:cs="宋体"/>
                <w:bCs/>
                <w:sz w:val="24"/>
                <w:highlight w:val="none"/>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hint="eastAsia" w:ascii="宋体" w:hAnsi="宋体" w:cs="宋体"/>
                <w:bCs/>
                <w:sz w:val="24"/>
                <w:highlight w:val="none"/>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ascii="宋体" w:hAnsi="宋体" w:cs="宋体"/>
                <w:bCs/>
                <w:sz w:val="24"/>
                <w:highlight w:val="none"/>
              </w:rPr>
            </w:pPr>
            <w:r>
              <w:rPr>
                <w:rFonts w:ascii="宋体" w:hAnsi="宋体" w:cs="宋体"/>
                <w:bCs/>
                <w:sz w:val="24"/>
                <w:highlight w:val="none"/>
              </w:rPr>
            </w:r>
            <w:r/>
          </w:p>
        </w:tc>
      </w:tr>
    </w:tbl>
    <w:p>
      <w:pPr>
        <w:contextualSpacing/>
        <w:ind w:left="228" w:hanging="228"/>
        <w:spacing w:line="360" w:lineRule="auto"/>
        <w:rPr>
          <w:rFonts w:ascii="宋体" w:hAnsi="宋体" w:cs="宋体"/>
          <w:bCs/>
          <w:sz w:val="24"/>
          <w:highlight w:val="none"/>
        </w:rPr>
      </w:pPr>
      <w:r>
        <w:rPr>
          <w:rFonts w:ascii="宋体" w:hAnsi="宋体" w:cs="宋体"/>
          <w:bCs/>
          <w:sz w:val="24"/>
          <w:highlight w:val="none"/>
        </w:rPr>
      </w:r>
      <w:r/>
    </w:p>
    <w:p>
      <w:pPr>
        <w:contextualSpacing/>
        <w:ind w:left="228" w:hanging="228"/>
        <w:spacing w:line="360" w:lineRule="auto"/>
        <w:rPr>
          <w:rFonts w:ascii="宋体" w:hAnsi="宋体" w:cs="宋体"/>
          <w:bCs/>
          <w:sz w:val="24"/>
          <w:highlight w:val="none"/>
        </w:rPr>
      </w:pPr>
      <w:r>
        <w:rPr>
          <w:rFonts w:ascii="宋体" w:hAnsi="宋体" w:cs="宋体"/>
          <w:bCs/>
          <w:sz w:val="24"/>
          <w:highlight w:val="none"/>
        </w:rPr>
      </w:r>
      <w:r/>
    </w:p>
    <w:p>
      <w:pPr>
        <w:contextualSpacing/>
        <w:ind w:left="228" w:hanging="228"/>
        <w:spacing w:line="360" w:lineRule="auto"/>
        <w:rPr>
          <w:rFonts w:ascii="宋体" w:hAnsi="宋体" w:cs="宋体"/>
          <w:bCs/>
          <w:sz w:val="24"/>
          <w:highlight w:val="none"/>
        </w:rPr>
      </w:pPr>
      <w:r>
        <w:rPr>
          <w:rFonts w:hint="eastAsia" w:ascii="宋体" w:hAnsi="宋体" w:cs="宋体"/>
          <w:bCs/>
          <w:sz w:val="24"/>
          <w:highlight w:val="none"/>
        </w:rPr>
        <w:t xml:space="preserve">投标人名称（加盖公章）：    ____________</w:t>
      </w:r>
      <w:r/>
    </w:p>
    <w:p>
      <w:pPr>
        <w:pStyle w:val="1000"/>
        <w:rPr>
          <w:highlight w:val="none"/>
        </w:rPr>
      </w:pPr>
      <w:r>
        <w:rPr>
          <w:rFonts w:hint="eastAsia"/>
          <w:highlight w:val="none"/>
        </w:rPr>
        <w:t xml:space="preserve">日期：_____年______月______日   </w:t>
      </w:r>
      <w:r/>
    </w:p>
    <w:p>
      <w:pPr>
        <w:pStyle w:val="1000"/>
        <w:rPr>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highlight w:val="none"/>
        </w:rPr>
      </w:r>
      <w:r/>
    </w:p>
    <w:p>
      <w:pPr>
        <w:ind w:left="228" w:hanging="228"/>
        <w:spacing w:line="360" w:lineRule="auto"/>
        <w:rPr>
          <w:rFonts w:ascii="宋体" w:hAnsi="宋体" w:cs="宋体"/>
          <w:sz w:val="24"/>
          <w:highlight w:val="none"/>
        </w:rPr>
        <w:outlineLvl w:val="2"/>
      </w:pPr>
      <w:r>
        <w:rPr>
          <w:rFonts w:hint="eastAsia" w:ascii="宋体" w:hAnsi="宋体" w:cs="宋体"/>
          <w:sz w:val="24"/>
          <w:highlight w:val="none"/>
        </w:rPr>
        <w:t xml:space="preserve">11 招标文件要求提供或投标人认为应附的其他材料</w:t>
      </w:r>
      <w:r/>
    </w:p>
    <w:p>
      <w:pPr>
        <w:contextualSpacing/>
        <w:ind w:left="228" w:hanging="228"/>
        <w:spacing w:line="360" w:lineRule="auto"/>
        <w:rPr>
          <w:rFonts w:ascii="宋体" w:hAnsi="宋体" w:cs="宋体"/>
          <w:bCs/>
          <w:sz w:val="24"/>
          <w:highlight w:val="none"/>
        </w:rPr>
      </w:pPr>
      <w:r>
        <w:rPr>
          <w:rFonts w:ascii="宋体" w:hAnsi="宋体" w:cs="宋体"/>
          <w:bCs/>
          <w:sz w:val="24"/>
          <w:highlight w:val="none"/>
        </w:rPr>
      </w:r>
      <w:r/>
    </w:p>
    <w:p>
      <w:pPr>
        <w:contextualSpacing/>
        <w:ind w:left="228" w:hanging="228"/>
        <w:spacing w:line="360" w:lineRule="auto"/>
        <w:rPr>
          <w:rFonts w:ascii="宋体" w:hAnsi="宋体" w:cs="宋体"/>
          <w:bCs/>
          <w:sz w:val="24"/>
          <w:highlight w:val="none"/>
        </w:rPr>
      </w:pPr>
      <w:r>
        <w:rPr>
          <w:rFonts w:ascii="宋体" w:hAnsi="宋体" w:cs="宋体"/>
          <w:bCs/>
          <w:sz w:val="24"/>
          <w:highlight w:val="none"/>
        </w:rPr>
      </w:r>
      <w:r/>
    </w:p>
    <w:p>
      <w:pPr>
        <w:contextualSpacing/>
        <w:ind w:left="228" w:hanging="228"/>
        <w:spacing w:line="360" w:lineRule="auto"/>
        <w:rPr>
          <w:rFonts w:ascii="宋体" w:hAnsi="宋体" w:cs="宋体"/>
          <w:bCs/>
          <w:sz w:val="24"/>
          <w:highlight w:val="none"/>
        </w:rPr>
      </w:pPr>
      <w:r>
        <w:rPr>
          <w:rFonts w:ascii="宋体" w:hAnsi="宋体" w:cs="宋体"/>
          <w:bCs/>
          <w:sz w:val="24"/>
          <w:highlight w:val="none"/>
        </w:rPr>
      </w:r>
      <w:r/>
    </w:p>
    <w:p>
      <w:pPr>
        <w:ind w:left="228" w:hanging="228"/>
        <w:jc w:val="center"/>
        <w:spacing w:line="360" w:lineRule="auto"/>
        <w:rPr>
          <w:rFonts w:ascii="宋体" w:hAnsi="宋体" w:cs="宋体"/>
          <w:sz w:val="24"/>
          <w:highlight w:val="none"/>
        </w:rPr>
        <w:outlineLvl w:val="2"/>
      </w:pPr>
      <w:r>
        <w:rPr>
          <w:rFonts w:hint="eastAsia" w:ascii="宋体" w:hAnsi="宋体" w:cs="宋体"/>
          <w:sz w:val="24"/>
          <w:highlight w:val="none"/>
        </w:rPr>
        <w:t xml:space="preserve">（全文完）</w:t>
      </w:r>
      <w:r/>
    </w:p>
    <w:p>
      <w:pPr>
        <w:rPr>
          <w:highlight w:val="none"/>
        </w:rPr>
      </w:pPr>
      <w:r>
        <w:rPr>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幼圆">
    <w:panose1 w:val="02010509060101010101"/>
  </w:font>
  <w:font w:name="黑体">
    <w:panose1 w:val="02010609060101010101"/>
  </w:font>
  <w:font w:name="仿宋_GB2312">
    <w:panose1 w:val="02010609060101010101"/>
  </w:font>
  <w:font w:name="Courier New">
    <w:panose1 w:val="02070309020205020404"/>
  </w:font>
  <w:font w:name="等线">
    <w:panose1 w:val="02010600030101010101"/>
  </w:font>
  <w:font w:name="等线 Light">
    <w:panose1 w:val="02010600030101010101"/>
  </w:font>
  <w:font w:name="仿宋">
    <w:panose1 w:val="02010609060101010101"/>
  </w:font>
  <w:font w:name="Cambria">
    <w:panose1 w:val="02040503050406030204"/>
  </w:font>
  <w:font w:name="宋体">
    <w:panose1 w:val="02010600030101010101"/>
  </w:font>
  <w:font w:name="Wingdings 2">
    <w:panose1 w:val="05020102010507070707"/>
  </w:font>
  <w:font w:name="Times New Roman">
    <w:panose1 w:val="02020603050405020304"/>
  </w:font>
  <w:font w:name="Calibri">
    <w:panose1 w:val="020F05020202040302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73413620"/>
      <w:rPr/>
    </w:sdtPr>
    <w:sdtContent>
      <w:p>
        <w:pPr>
          <w:pStyle w:val="1005"/>
          <w:jc w:val="center"/>
        </w:pPr>
        <w:r>
          <w:fldChar w:fldCharType="begin"/>
        </w:r>
        <w:r>
          <w:instrText xml:space="preserve">PAGE   \* MERGEFORMAT</w:instrText>
        </w:r>
        <w:r>
          <w:fldChar w:fldCharType="separate"/>
        </w:r>
        <w:r>
          <w:rPr>
            <w:lang w:val="zh-CN"/>
          </w:rPr>
          <w:t xml:space="preserve">30</w:t>
        </w:r>
        <w:r>
          <w:fldChar w:fldCharType="end"/>
        </w:r>
        <w:r/>
      </w:p>
    </w:sdtContent>
  </w:sdt>
  <w:p>
    <w:pPr>
      <w:pStyle w:val="1005"/>
      <w:tabs>
        <w:tab w:val="clear"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21833139"/>
      <w:rPr/>
    </w:sdtPr>
    <w:sdtContent>
      <w:p>
        <w:pPr>
          <w:pStyle w:val="1005"/>
          <w:jc w:val="center"/>
        </w:pPr>
        <w:r>
          <w:fldChar w:fldCharType="begin"/>
        </w:r>
        <w:r>
          <w:instrText xml:space="preserve">PAGE   \* MERGEFORMAT</w:instrText>
        </w:r>
        <w:r>
          <w:fldChar w:fldCharType="separate"/>
        </w:r>
        <w:r>
          <w:rPr>
            <w:lang w:val="zh-CN"/>
          </w:rPr>
          <w:t xml:space="preserve">40</w:t>
        </w:r>
        <w:r>
          <w:fldChar w:fldCharType="end"/>
        </w:r>
        <w:r/>
      </w:p>
    </w:sdtContent>
  </w:sdt>
  <w:p>
    <w:pPr>
      <w:pStyle w:val="100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5"/>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5"/>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7">
    <w:multiLevelType w:val="hybridMultilevel"/>
    <w:lvl w:ilvl="0">
      <w:start w:val="1"/>
      <w:numFmt w:val="bullet"/>
      <w:pStyle w:val="1061"/>
      <w:isLgl w:val="false"/>
      <w:suff w:val="tab"/>
      <w:lvlText w:val=""/>
      <w:lvlJc w:val="left"/>
      <w:pPr>
        <w:ind w:left="851" w:hanging="284"/>
        <w:tabs>
          <w:tab w:val="left" w:pos="927" w:leader="none"/>
        </w:tabs>
      </w:pPr>
      <w:rPr>
        <w:rFonts w:hint="default" w:ascii="Wingdings" w:hAnsi="Wingdings"/>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777"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7"/>
  </w:num>
  <w:num w:numId="2">
    <w:abstractNumId w:val="10"/>
  </w:num>
  <w:num w:numId="3">
    <w:abstractNumId w:val="4"/>
  </w:num>
  <w:num w:numId="4">
    <w:abstractNumId w:val="8"/>
  </w:num>
  <w:num w:numId="5">
    <w:abstractNumId w:val="12"/>
  </w:num>
  <w:num w:numId="6">
    <w:abstractNumId w:val="6"/>
  </w:num>
  <w:num w:numId="7">
    <w:abstractNumId w:val="3"/>
  </w:num>
  <w:num w:numId="8">
    <w:abstractNumId w:val="2"/>
  </w:num>
  <w:num w:numId="9">
    <w:abstractNumId w:val="0"/>
  </w:num>
  <w:num w:numId="10">
    <w:abstractNumId w:val="9"/>
  </w:num>
  <w:num w:numId="11">
    <w:abstractNumId w:val="5"/>
  </w:num>
  <w:num w:numId="12">
    <w:abstractNumId w:val="11"/>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3">
    <w:name w:val="Heading 1 Char"/>
    <w:basedOn w:val="993"/>
    <w:link w:val="989"/>
    <w:uiPriority w:val="9"/>
    <w:rPr>
      <w:rFonts w:ascii="Arial" w:hAnsi="Arial" w:eastAsia="Arial" w:cs="Arial"/>
      <w:sz w:val="40"/>
      <w:szCs w:val="40"/>
    </w:rPr>
  </w:style>
  <w:style w:type="character" w:styleId="824">
    <w:name w:val="Heading 2 Char"/>
    <w:basedOn w:val="993"/>
    <w:link w:val="990"/>
    <w:uiPriority w:val="9"/>
    <w:rPr>
      <w:rFonts w:ascii="Arial" w:hAnsi="Arial" w:eastAsia="Arial" w:cs="Arial"/>
      <w:sz w:val="34"/>
    </w:rPr>
  </w:style>
  <w:style w:type="character" w:styleId="825">
    <w:name w:val="Heading 4 Char"/>
    <w:basedOn w:val="993"/>
    <w:link w:val="992"/>
    <w:uiPriority w:val="9"/>
    <w:rPr>
      <w:rFonts w:ascii="Arial" w:hAnsi="Arial" w:eastAsia="Arial" w:cs="Arial"/>
      <w:b/>
      <w:bCs/>
      <w:sz w:val="26"/>
      <w:szCs w:val="26"/>
    </w:rPr>
  </w:style>
  <w:style w:type="paragraph" w:styleId="826">
    <w:name w:val="Heading 5"/>
    <w:basedOn w:val="988"/>
    <w:next w:val="988"/>
    <w:link w:val="827"/>
    <w:uiPriority w:val="9"/>
    <w:unhideWhenUsed/>
    <w:qFormat/>
    <w:pPr>
      <w:keepLines/>
      <w:keepNext/>
      <w:spacing w:before="320" w:after="200"/>
      <w:outlineLvl w:val="4"/>
    </w:pPr>
    <w:rPr>
      <w:rFonts w:ascii="Arial" w:hAnsi="Arial" w:eastAsia="Arial" w:cs="Arial"/>
      <w:b/>
      <w:bCs/>
      <w:sz w:val="24"/>
      <w:szCs w:val="24"/>
    </w:rPr>
  </w:style>
  <w:style w:type="character" w:styleId="827">
    <w:name w:val="Heading 5 Char"/>
    <w:basedOn w:val="993"/>
    <w:link w:val="826"/>
    <w:uiPriority w:val="9"/>
    <w:rPr>
      <w:rFonts w:ascii="Arial" w:hAnsi="Arial" w:eastAsia="Arial" w:cs="Arial"/>
      <w:b/>
      <w:bCs/>
      <w:sz w:val="24"/>
      <w:szCs w:val="24"/>
    </w:rPr>
  </w:style>
  <w:style w:type="paragraph" w:styleId="828">
    <w:name w:val="Heading 6"/>
    <w:basedOn w:val="988"/>
    <w:next w:val="988"/>
    <w:link w:val="829"/>
    <w:uiPriority w:val="9"/>
    <w:unhideWhenUsed/>
    <w:qFormat/>
    <w:pPr>
      <w:keepLines/>
      <w:keepNext/>
      <w:spacing w:before="320" w:after="200"/>
      <w:outlineLvl w:val="5"/>
    </w:pPr>
    <w:rPr>
      <w:rFonts w:ascii="Arial" w:hAnsi="Arial" w:eastAsia="Arial" w:cs="Arial"/>
      <w:b/>
      <w:bCs/>
      <w:sz w:val="22"/>
      <w:szCs w:val="22"/>
    </w:rPr>
  </w:style>
  <w:style w:type="character" w:styleId="829">
    <w:name w:val="Heading 6 Char"/>
    <w:basedOn w:val="993"/>
    <w:link w:val="828"/>
    <w:uiPriority w:val="9"/>
    <w:rPr>
      <w:rFonts w:ascii="Arial" w:hAnsi="Arial" w:eastAsia="Arial" w:cs="Arial"/>
      <w:b/>
      <w:bCs/>
      <w:sz w:val="22"/>
      <w:szCs w:val="22"/>
    </w:rPr>
  </w:style>
  <w:style w:type="paragraph" w:styleId="830">
    <w:name w:val="Heading 7"/>
    <w:basedOn w:val="988"/>
    <w:next w:val="988"/>
    <w:link w:val="831"/>
    <w:uiPriority w:val="9"/>
    <w:unhideWhenUsed/>
    <w:qFormat/>
    <w:pPr>
      <w:keepLines/>
      <w:keepNext/>
      <w:spacing w:before="320" w:after="200"/>
      <w:outlineLvl w:val="6"/>
    </w:pPr>
    <w:rPr>
      <w:rFonts w:ascii="Arial" w:hAnsi="Arial" w:eastAsia="Arial" w:cs="Arial"/>
      <w:b/>
      <w:bCs/>
      <w:i/>
      <w:iCs/>
      <w:sz w:val="22"/>
      <w:szCs w:val="22"/>
    </w:rPr>
  </w:style>
  <w:style w:type="character" w:styleId="831">
    <w:name w:val="Heading 7 Char"/>
    <w:basedOn w:val="993"/>
    <w:link w:val="830"/>
    <w:uiPriority w:val="9"/>
    <w:rPr>
      <w:rFonts w:ascii="Arial" w:hAnsi="Arial" w:eastAsia="Arial" w:cs="Arial"/>
      <w:b/>
      <w:bCs/>
      <w:i/>
      <w:iCs/>
      <w:sz w:val="22"/>
      <w:szCs w:val="22"/>
    </w:rPr>
  </w:style>
  <w:style w:type="paragraph" w:styleId="832">
    <w:name w:val="Heading 8"/>
    <w:basedOn w:val="988"/>
    <w:next w:val="988"/>
    <w:link w:val="833"/>
    <w:uiPriority w:val="9"/>
    <w:unhideWhenUsed/>
    <w:qFormat/>
    <w:pPr>
      <w:keepLines/>
      <w:keepNext/>
      <w:spacing w:before="320" w:after="200"/>
      <w:outlineLvl w:val="7"/>
    </w:pPr>
    <w:rPr>
      <w:rFonts w:ascii="Arial" w:hAnsi="Arial" w:eastAsia="Arial" w:cs="Arial"/>
      <w:i/>
      <w:iCs/>
      <w:sz w:val="22"/>
      <w:szCs w:val="22"/>
    </w:rPr>
  </w:style>
  <w:style w:type="character" w:styleId="833">
    <w:name w:val="Heading 8 Char"/>
    <w:basedOn w:val="993"/>
    <w:link w:val="832"/>
    <w:uiPriority w:val="9"/>
    <w:rPr>
      <w:rFonts w:ascii="Arial" w:hAnsi="Arial" w:eastAsia="Arial" w:cs="Arial"/>
      <w:i/>
      <w:iCs/>
      <w:sz w:val="22"/>
      <w:szCs w:val="22"/>
    </w:rPr>
  </w:style>
  <w:style w:type="paragraph" w:styleId="834">
    <w:name w:val="Heading 9"/>
    <w:basedOn w:val="988"/>
    <w:next w:val="988"/>
    <w:link w:val="835"/>
    <w:uiPriority w:val="9"/>
    <w:unhideWhenUsed/>
    <w:qFormat/>
    <w:pPr>
      <w:keepLines/>
      <w:keepNext/>
      <w:spacing w:before="320" w:after="200"/>
      <w:outlineLvl w:val="8"/>
    </w:pPr>
    <w:rPr>
      <w:rFonts w:ascii="Arial" w:hAnsi="Arial" w:eastAsia="Arial" w:cs="Arial"/>
      <w:i/>
      <w:iCs/>
      <w:sz w:val="21"/>
      <w:szCs w:val="21"/>
    </w:rPr>
  </w:style>
  <w:style w:type="character" w:styleId="835">
    <w:name w:val="Heading 9 Char"/>
    <w:basedOn w:val="993"/>
    <w:link w:val="834"/>
    <w:uiPriority w:val="9"/>
    <w:rPr>
      <w:rFonts w:ascii="Arial" w:hAnsi="Arial" w:eastAsia="Arial" w:cs="Arial"/>
      <w:i/>
      <w:iCs/>
      <w:sz w:val="21"/>
      <w:szCs w:val="21"/>
    </w:rPr>
  </w:style>
  <w:style w:type="paragraph" w:styleId="836">
    <w:name w:val="No Spacing"/>
    <w:uiPriority w:val="1"/>
    <w:qFormat/>
    <w:pPr>
      <w:spacing w:before="0" w:after="0" w:line="240" w:lineRule="auto"/>
    </w:pPr>
  </w:style>
  <w:style w:type="paragraph" w:styleId="837">
    <w:name w:val="Title"/>
    <w:basedOn w:val="988"/>
    <w:next w:val="988"/>
    <w:link w:val="838"/>
    <w:uiPriority w:val="10"/>
    <w:qFormat/>
    <w:pPr>
      <w:contextualSpacing/>
      <w:spacing w:before="300" w:after="200"/>
    </w:pPr>
    <w:rPr>
      <w:sz w:val="48"/>
      <w:szCs w:val="48"/>
    </w:rPr>
  </w:style>
  <w:style w:type="character" w:styleId="838">
    <w:name w:val="Title Char"/>
    <w:basedOn w:val="993"/>
    <w:link w:val="837"/>
    <w:uiPriority w:val="10"/>
    <w:rPr>
      <w:sz w:val="48"/>
      <w:szCs w:val="48"/>
    </w:rPr>
  </w:style>
  <w:style w:type="paragraph" w:styleId="839">
    <w:name w:val="Subtitle"/>
    <w:basedOn w:val="988"/>
    <w:next w:val="988"/>
    <w:link w:val="840"/>
    <w:uiPriority w:val="11"/>
    <w:qFormat/>
    <w:pPr>
      <w:spacing w:before="200" w:after="200"/>
    </w:pPr>
    <w:rPr>
      <w:sz w:val="24"/>
      <w:szCs w:val="24"/>
    </w:rPr>
  </w:style>
  <w:style w:type="character" w:styleId="840">
    <w:name w:val="Subtitle Char"/>
    <w:basedOn w:val="993"/>
    <w:link w:val="839"/>
    <w:uiPriority w:val="11"/>
    <w:rPr>
      <w:sz w:val="24"/>
      <w:szCs w:val="24"/>
    </w:rPr>
  </w:style>
  <w:style w:type="paragraph" w:styleId="841">
    <w:name w:val="Quote"/>
    <w:basedOn w:val="988"/>
    <w:next w:val="988"/>
    <w:link w:val="842"/>
    <w:uiPriority w:val="29"/>
    <w:qFormat/>
    <w:pPr>
      <w:ind w:left="720" w:right="720"/>
    </w:pPr>
    <w:rPr>
      <w:i/>
    </w:rPr>
  </w:style>
  <w:style w:type="character" w:styleId="842">
    <w:name w:val="Quote Char"/>
    <w:link w:val="841"/>
    <w:uiPriority w:val="29"/>
    <w:rPr>
      <w:i/>
    </w:rPr>
  </w:style>
  <w:style w:type="paragraph" w:styleId="843">
    <w:name w:val="Intense Quote"/>
    <w:basedOn w:val="988"/>
    <w:next w:val="988"/>
    <w:link w:val="8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name w:val="Intense Quote Char"/>
    <w:link w:val="843"/>
    <w:uiPriority w:val="30"/>
    <w:rPr>
      <w:i/>
    </w:rPr>
  </w:style>
  <w:style w:type="character" w:styleId="845">
    <w:name w:val="Header Char"/>
    <w:basedOn w:val="993"/>
    <w:link w:val="1006"/>
    <w:uiPriority w:val="99"/>
  </w:style>
  <w:style w:type="character" w:styleId="846">
    <w:name w:val="Footer Char"/>
    <w:basedOn w:val="993"/>
    <w:link w:val="1005"/>
    <w:uiPriority w:val="99"/>
  </w:style>
  <w:style w:type="paragraph" w:styleId="847">
    <w:name w:val="Caption"/>
    <w:basedOn w:val="988"/>
    <w:next w:val="988"/>
    <w:uiPriority w:val="35"/>
    <w:semiHidden/>
    <w:unhideWhenUsed/>
    <w:qFormat/>
    <w:pPr>
      <w:spacing w:line="276" w:lineRule="auto"/>
    </w:pPr>
    <w:rPr>
      <w:b/>
      <w:bCs/>
      <w:color w:val="4f81bd" w:themeColor="accent1"/>
      <w:sz w:val="18"/>
      <w:szCs w:val="18"/>
    </w:rPr>
  </w:style>
  <w:style w:type="character" w:styleId="848">
    <w:name w:val="Caption Char"/>
    <w:basedOn w:val="847"/>
    <w:link w:val="1005"/>
    <w:uiPriority w:val="99"/>
  </w:style>
  <w:style w:type="table" w:styleId="849">
    <w:name w:val="Table Grid Light"/>
    <w:basedOn w:val="9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0">
    <w:name w:val="Plain Table 1"/>
    <w:basedOn w:val="9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2"/>
    <w:basedOn w:val="9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3"/>
    <w:basedOn w:val="9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name w:val="Plain Table 4"/>
    <w:basedOn w:val="9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name w:val="Plain Table 5"/>
    <w:basedOn w:val="9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5">
    <w:name w:val="Grid Table 1 Light"/>
    <w:basedOn w:val="9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6">
    <w:name w:val="Grid Table 1 Light - Accent 1"/>
    <w:basedOn w:val="9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7">
    <w:name w:val="Grid Table 1 Light - Accent 2"/>
    <w:basedOn w:val="9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8">
    <w:name w:val="Grid Table 1 Light - Accent 3"/>
    <w:basedOn w:val="9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9">
    <w:name w:val="Grid Table 1 Light - Accent 4"/>
    <w:basedOn w:val="9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0">
    <w:name w:val="Grid Table 1 Light - Accent 5"/>
    <w:basedOn w:val="9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1">
    <w:name w:val="Grid Table 1 Light - Accent 6"/>
    <w:basedOn w:val="9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2">
    <w:name w:val="Grid Table 2"/>
    <w:basedOn w:val="9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3">
    <w:name w:val="Grid Table 2 - Accent 1"/>
    <w:basedOn w:val="9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4">
    <w:name w:val="Grid Table 2 - Accent 2"/>
    <w:basedOn w:val="9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2 - Accent 3"/>
    <w:basedOn w:val="9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2 - Accent 4"/>
    <w:basedOn w:val="9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2 - Accent 5"/>
    <w:basedOn w:val="9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8">
    <w:name w:val="Grid Table 2 - Accent 6"/>
    <w:basedOn w:val="9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9">
    <w:name w:val="Grid Table 3"/>
    <w:basedOn w:val="9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1"/>
    <w:basedOn w:val="9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2"/>
    <w:basedOn w:val="9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3"/>
    <w:basedOn w:val="9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4"/>
    <w:basedOn w:val="9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5"/>
    <w:basedOn w:val="9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6"/>
    <w:basedOn w:val="9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4"/>
    <w:basedOn w:val="9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name w:val="Grid Table 4 - Accent 1"/>
    <w:basedOn w:val="9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8">
    <w:name w:val="Grid Table 4 - Accent 2"/>
    <w:basedOn w:val="9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9">
    <w:name w:val="Grid Table 4 - Accent 3"/>
    <w:basedOn w:val="9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0">
    <w:name w:val="Grid Table 4 - Accent 4"/>
    <w:basedOn w:val="9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1">
    <w:name w:val="Grid Table 4 - Accent 5"/>
    <w:basedOn w:val="9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2">
    <w:name w:val="Grid Table 4 - Accent 6"/>
    <w:basedOn w:val="9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3">
    <w:name w:val="Grid Table 5 Dark"/>
    <w:basedOn w:val="9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4">
    <w:name w:val="Grid Table 5 Dark- Accent 1"/>
    <w:basedOn w:val="9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85">
    <w:name w:val="Grid Table 5 Dark - Accent 2"/>
    <w:basedOn w:val="9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86">
    <w:name w:val="Grid Table 5 Dark - Accent 3"/>
    <w:basedOn w:val="9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87">
    <w:name w:val="Grid Table 5 Dark- Accent 4"/>
    <w:basedOn w:val="9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88">
    <w:name w:val="Grid Table 5 Dark - Accent 5"/>
    <w:basedOn w:val="9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9">
    <w:name w:val="Grid Table 5 Dark - Accent 6"/>
    <w:basedOn w:val="9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0">
    <w:name w:val="Grid Table 6 Colorful"/>
    <w:basedOn w:val="9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1">
    <w:name w:val="Grid Table 6 Colorful - Accent 1"/>
    <w:basedOn w:val="9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92">
    <w:name w:val="Grid Table 6 Colorful - Accent 2"/>
    <w:basedOn w:val="9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93">
    <w:name w:val="Grid Table 6 Colorful - Accent 3"/>
    <w:basedOn w:val="9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94">
    <w:name w:val="Grid Table 6 Colorful - Accent 4"/>
    <w:basedOn w:val="9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95">
    <w:name w:val="Grid Table 6 Colorful - Accent 5"/>
    <w:basedOn w:val="9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96">
    <w:name w:val="Grid Table 6 Colorful - Accent 6"/>
    <w:basedOn w:val="9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97">
    <w:name w:val="Grid Table 7 Colorful"/>
    <w:basedOn w:val="9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8">
    <w:name w:val="Grid Table 7 Colorful - Accent 1"/>
    <w:basedOn w:val="9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9">
    <w:name w:val="Grid Table 7 Colorful - Accent 2"/>
    <w:basedOn w:val="9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0">
    <w:name w:val="Grid Table 7 Colorful - Accent 3"/>
    <w:basedOn w:val="9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1">
    <w:name w:val="Grid Table 7 Colorful - Accent 4"/>
    <w:basedOn w:val="9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2">
    <w:name w:val="Grid Table 7 Colorful - Accent 5"/>
    <w:basedOn w:val="9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3">
    <w:name w:val="Grid Table 7 Colorful - Accent 6"/>
    <w:basedOn w:val="9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4">
    <w:name w:val="List Table 1 Light"/>
    <w:basedOn w:val="9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name w:val="List Table 1 Light - Accent 1"/>
    <w:basedOn w:val="99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6">
    <w:name w:val="List Table 1 Light - Accent 2"/>
    <w:basedOn w:val="99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7">
    <w:name w:val="List Table 1 Light - Accent 3"/>
    <w:basedOn w:val="99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8">
    <w:name w:val="List Table 1 Light - Accent 4"/>
    <w:basedOn w:val="99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9">
    <w:name w:val="List Table 1 Light - Accent 5"/>
    <w:basedOn w:val="99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0">
    <w:name w:val="List Table 1 Light - Accent 6"/>
    <w:basedOn w:val="99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1">
    <w:name w:val="List Table 2"/>
    <w:basedOn w:val="9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2">
    <w:name w:val="List Table 2 - Accent 1"/>
    <w:basedOn w:val="9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3">
    <w:name w:val="List Table 2 - Accent 2"/>
    <w:basedOn w:val="9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4">
    <w:name w:val="List Table 2 - Accent 3"/>
    <w:basedOn w:val="9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5">
    <w:name w:val="List Table 2 - Accent 4"/>
    <w:basedOn w:val="9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6">
    <w:name w:val="List Table 2 - Accent 5"/>
    <w:basedOn w:val="9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7">
    <w:name w:val="List Table 2 - Accent 6"/>
    <w:basedOn w:val="9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8">
    <w:name w:val="List Table 3"/>
    <w:basedOn w:val="9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3 - Accent 1"/>
    <w:basedOn w:val="9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20">
    <w:name w:val="List Table 3 - Accent 2"/>
    <w:basedOn w:val="9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21">
    <w:name w:val="List Table 3 - Accent 3"/>
    <w:basedOn w:val="9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22">
    <w:name w:val="List Table 3 - Accent 4"/>
    <w:basedOn w:val="9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23">
    <w:name w:val="List Table 3 - Accent 5"/>
    <w:basedOn w:val="9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24">
    <w:name w:val="List Table 3 - Accent 6"/>
    <w:basedOn w:val="9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25">
    <w:name w:val="List Table 4"/>
    <w:basedOn w:val="9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6">
    <w:name w:val="List Table 4 - Accent 1"/>
    <w:basedOn w:val="9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27">
    <w:name w:val="List Table 4 - Accent 2"/>
    <w:basedOn w:val="9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28">
    <w:name w:val="List Table 4 - Accent 3"/>
    <w:basedOn w:val="9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29">
    <w:name w:val="List Table 4 - Accent 4"/>
    <w:basedOn w:val="9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30">
    <w:name w:val="List Table 4 - Accent 5"/>
    <w:basedOn w:val="9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31">
    <w:name w:val="List Table 4 - Accent 6"/>
    <w:basedOn w:val="9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32">
    <w:name w:val="List Table 5 Dark"/>
    <w:basedOn w:val="9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1"/>
    <w:basedOn w:val="9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2"/>
    <w:basedOn w:val="9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3"/>
    <w:basedOn w:val="9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4"/>
    <w:basedOn w:val="9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5"/>
    <w:basedOn w:val="9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6"/>
    <w:basedOn w:val="9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6 Colorful"/>
    <w:basedOn w:val="9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0">
    <w:name w:val="List Table 6 Colorful - Accent 1"/>
    <w:basedOn w:val="9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41">
    <w:name w:val="List Table 6 Colorful - Accent 2"/>
    <w:basedOn w:val="9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42">
    <w:name w:val="List Table 6 Colorful - Accent 3"/>
    <w:basedOn w:val="9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43">
    <w:name w:val="List Table 6 Colorful - Accent 4"/>
    <w:basedOn w:val="9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44">
    <w:name w:val="List Table 6 Colorful - Accent 5"/>
    <w:basedOn w:val="9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45">
    <w:name w:val="List Table 6 Colorful - Accent 6"/>
    <w:basedOn w:val="9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46">
    <w:name w:val="List Table 7 Colorful"/>
    <w:basedOn w:val="9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7">
    <w:name w:val="List Table 7 Colorful - Accent 1"/>
    <w:basedOn w:val="9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48">
    <w:name w:val="List Table 7 Colorful - Accent 2"/>
    <w:basedOn w:val="9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49">
    <w:name w:val="List Table 7 Colorful - Accent 3"/>
    <w:basedOn w:val="9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50">
    <w:name w:val="List Table 7 Colorful - Accent 4"/>
    <w:basedOn w:val="9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51">
    <w:name w:val="List Table 7 Colorful - Accent 5"/>
    <w:basedOn w:val="9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52">
    <w:name w:val="List Table 7 Colorful - Accent 6"/>
    <w:basedOn w:val="9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53">
    <w:name w:val="Lined - Accent"/>
    <w:basedOn w:val="9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4">
    <w:name w:val="Lined - Accent 1"/>
    <w:basedOn w:val="9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55">
    <w:name w:val="Lined - Accent 2"/>
    <w:basedOn w:val="9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56">
    <w:name w:val="Lined - Accent 3"/>
    <w:basedOn w:val="9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57">
    <w:name w:val="Lined - Accent 4"/>
    <w:basedOn w:val="9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58">
    <w:name w:val="Lined - Accent 5"/>
    <w:basedOn w:val="9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59">
    <w:name w:val="Lined - Accent 6"/>
    <w:basedOn w:val="9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0">
    <w:name w:val="Bordered &amp; Lined - Accent"/>
    <w:basedOn w:val="9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1">
    <w:name w:val="Bordered &amp; Lined - Accent 1"/>
    <w:basedOn w:val="9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62">
    <w:name w:val="Bordered &amp; Lined - Accent 2"/>
    <w:basedOn w:val="9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3">
    <w:name w:val="Bordered &amp; Lined - Accent 3"/>
    <w:basedOn w:val="9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4">
    <w:name w:val="Bordered &amp; Lined - Accent 4"/>
    <w:basedOn w:val="9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5">
    <w:name w:val="Bordered &amp; Lined - Accent 5"/>
    <w:basedOn w:val="9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66">
    <w:name w:val="Bordered &amp; Lined - Accent 6"/>
    <w:basedOn w:val="9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7">
    <w:name w:val="Bordered"/>
    <w:basedOn w:val="9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8">
    <w:name w:val="Bordered - Accent 1"/>
    <w:basedOn w:val="9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9">
    <w:name w:val="Bordered - Accent 2"/>
    <w:basedOn w:val="9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0">
    <w:name w:val="Bordered - Accent 3"/>
    <w:basedOn w:val="9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1">
    <w:name w:val="Bordered - Accent 4"/>
    <w:basedOn w:val="9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2">
    <w:name w:val="Bordered - Accent 5"/>
    <w:basedOn w:val="9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3">
    <w:name w:val="Bordered - Accent 6"/>
    <w:basedOn w:val="9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4">
    <w:name w:val="Footnote Text Char"/>
    <w:link w:val="1009"/>
    <w:uiPriority w:val="99"/>
    <w:rPr>
      <w:sz w:val="18"/>
    </w:rPr>
  </w:style>
  <w:style w:type="character" w:styleId="975">
    <w:name w:val="footnote reference"/>
    <w:basedOn w:val="993"/>
    <w:uiPriority w:val="99"/>
    <w:unhideWhenUsed/>
    <w:rPr>
      <w:vertAlign w:val="superscript"/>
    </w:rPr>
  </w:style>
  <w:style w:type="paragraph" w:styleId="976">
    <w:name w:val="endnote text"/>
    <w:basedOn w:val="988"/>
    <w:link w:val="977"/>
    <w:uiPriority w:val="99"/>
    <w:semiHidden/>
    <w:unhideWhenUsed/>
    <w:pPr>
      <w:spacing w:after="0" w:line="240" w:lineRule="auto"/>
    </w:pPr>
    <w:rPr>
      <w:sz w:val="20"/>
    </w:rPr>
  </w:style>
  <w:style w:type="character" w:styleId="977">
    <w:name w:val="Endnote Text Char"/>
    <w:link w:val="976"/>
    <w:uiPriority w:val="99"/>
    <w:rPr>
      <w:sz w:val="20"/>
    </w:rPr>
  </w:style>
  <w:style w:type="character" w:styleId="978">
    <w:name w:val="endnote reference"/>
    <w:basedOn w:val="993"/>
    <w:uiPriority w:val="99"/>
    <w:semiHidden/>
    <w:unhideWhenUsed/>
    <w:rPr>
      <w:vertAlign w:val="superscript"/>
    </w:rPr>
  </w:style>
  <w:style w:type="paragraph" w:styleId="979">
    <w:name w:val="toc 2"/>
    <w:basedOn w:val="988"/>
    <w:next w:val="988"/>
    <w:uiPriority w:val="39"/>
    <w:unhideWhenUsed/>
    <w:pPr>
      <w:ind w:left="283" w:right="0" w:firstLine="0"/>
      <w:spacing w:after="57"/>
    </w:pPr>
  </w:style>
  <w:style w:type="paragraph" w:styleId="980">
    <w:name w:val="toc 3"/>
    <w:basedOn w:val="988"/>
    <w:next w:val="988"/>
    <w:uiPriority w:val="39"/>
    <w:unhideWhenUsed/>
    <w:pPr>
      <w:ind w:left="567" w:right="0" w:firstLine="0"/>
      <w:spacing w:after="57"/>
    </w:pPr>
  </w:style>
  <w:style w:type="paragraph" w:styleId="981">
    <w:name w:val="toc 5"/>
    <w:basedOn w:val="988"/>
    <w:next w:val="988"/>
    <w:uiPriority w:val="39"/>
    <w:unhideWhenUsed/>
    <w:pPr>
      <w:ind w:left="1134" w:right="0" w:firstLine="0"/>
      <w:spacing w:after="57"/>
    </w:pPr>
  </w:style>
  <w:style w:type="paragraph" w:styleId="982">
    <w:name w:val="toc 6"/>
    <w:basedOn w:val="988"/>
    <w:next w:val="988"/>
    <w:uiPriority w:val="39"/>
    <w:unhideWhenUsed/>
    <w:pPr>
      <w:ind w:left="1417" w:right="0" w:firstLine="0"/>
      <w:spacing w:after="57"/>
    </w:pPr>
  </w:style>
  <w:style w:type="paragraph" w:styleId="983">
    <w:name w:val="toc 7"/>
    <w:basedOn w:val="988"/>
    <w:next w:val="988"/>
    <w:uiPriority w:val="39"/>
    <w:unhideWhenUsed/>
    <w:pPr>
      <w:ind w:left="1701" w:right="0" w:firstLine="0"/>
      <w:spacing w:after="57"/>
    </w:pPr>
  </w:style>
  <w:style w:type="paragraph" w:styleId="984">
    <w:name w:val="toc 8"/>
    <w:basedOn w:val="988"/>
    <w:next w:val="988"/>
    <w:uiPriority w:val="39"/>
    <w:unhideWhenUsed/>
    <w:pPr>
      <w:ind w:left="1984" w:right="0" w:firstLine="0"/>
      <w:spacing w:after="57"/>
    </w:pPr>
  </w:style>
  <w:style w:type="paragraph" w:styleId="985">
    <w:name w:val="toc 9"/>
    <w:basedOn w:val="988"/>
    <w:next w:val="988"/>
    <w:uiPriority w:val="39"/>
    <w:unhideWhenUsed/>
    <w:pPr>
      <w:ind w:left="2268" w:right="0" w:firstLine="0"/>
      <w:spacing w:after="57"/>
    </w:pPr>
  </w:style>
  <w:style w:type="paragraph" w:styleId="986">
    <w:name w:val="TOC Heading"/>
    <w:uiPriority w:val="39"/>
    <w:unhideWhenUsed/>
  </w:style>
  <w:style w:type="paragraph" w:styleId="987">
    <w:name w:val="table of figures"/>
    <w:basedOn w:val="988"/>
    <w:next w:val="988"/>
    <w:uiPriority w:val="99"/>
    <w:unhideWhenUsed/>
    <w:pPr>
      <w:spacing w:after="0" w:afterAutospacing="0"/>
    </w:pPr>
  </w:style>
  <w:style w:type="paragraph" w:styleId="988" w:default="1">
    <w:name w:val="Normal"/>
    <w:next w:val="992"/>
    <w:uiPriority w:val="0"/>
    <w:qFormat/>
    <w:pPr>
      <w:jc w:val="both"/>
      <w:widowControl w:val="off"/>
    </w:pPr>
    <w:rPr>
      <w:rFonts w:ascii="Calibri" w:hAnsi="Calibri" w:eastAsia="宋体" w:cs="Times New Roman"/>
      <w:sz w:val="21"/>
      <w:szCs w:val="22"/>
      <w:lang w:val="en-US" w:eastAsia="zh-CN" w:bidi="ar-SA"/>
    </w:rPr>
  </w:style>
  <w:style w:type="paragraph" w:styleId="989">
    <w:name w:val="Heading 1"/>
    <w:basedOn w:val="988"/>
    <w:next w:val="988"/>
    <w:link w:val="1032"/>
    <w:uiPriority w:val="9"/>
    <w:qFormat/>
    <w:pPr>
      <w:jc w:val="center"/>
      <w:spacing w:line="360" w:lineRule="auto"/>
      <w:outlineLvl w:val="0"/>
    </w:pPr>
    <w:rPr>
      <w:b/>
      <w:sz w:val="36"/>
      <w:szCs w:val="36"/>
    </w:rPr>
  </w:style>
  <w:style w:type="paragraph" w:styleId="990">
    <w:name w:val="Heading 2"/>
    <w:basedOn w:val="988"/>
    <w:next w:val="988"/>
    <w:link w:val="1033"/>
    <w:uiPriority w:val="9"/>
    <w:unhideWhenUsed/>
    <w:qFormat/>
    <w:pPr>
      <w:keepLines/>
      <w:keepNext/>
      <w:spacing w:before="260" w:after="260" w:line="416" w:lineRule="auto"/>
      <w:outlineLvl w:val="1"/>
    </w:pPr>
    <w:rPr>
      <w:rFonts w:ascii="Cambria" w:hAnsi="Cambria"/>
      <w:b/>
      <w:bCs/>
      <w:sz w:val="32"/>
      <w:szCs w:val="32"/>
    </w:rPr>
  </w:style>
  <w:style w:type="paragraph" w:styleId="991">
    <w:name w:val="Heading 3"/>
    <w:basedOn w:val="988"/>
    <w:next w:val="988"/>
    <w:link w:val="1024"/>
    <w:uiPriority w:val="9"/>
    <w:unhideWhenUsed/>
    <w:qFormat/>
    <w:pPr>
      <w:keepLines/>
      <w:keepNext/>
      <w:spacing w:before="260" w:after="260" w:line="416" w:lineRule="auto"/>
      <w:outlineLvl w:val="2"/>
    </w:pPr>
    <w:rPr>
      <w:b/>
      <w:bCs/>
      <w:sz w:val="32"/>
      <w:szCs w:val="32"/>
    </w:rPr>
  </w:style>
  <w:style w:type="paragraph" w:styleId="992">
    <w:name w:val="Heading 4"/>
    <w:basedOn w:val="988"/>
    <w:next w:val="988"/>
    <w:uiPriority w:val="9"/>
    <w:qFormat/>
    <w:pPr>
      <w:keepLines/>
      <w:keepNext/>
      <w:spacing w:before="280" w:after="290" w:line="376" w:lineRule="auto"/>
      <w:outlineLvl w:val="3"/>
    </w:pPr>
    <w:rPr>
      <w:rFonts w:ascii="等线 Light" w:hAnsi="等线 Light" w:eastAsia="等线 Light"/>
      <w:b/>
      <w:bCs/>
      <w:sz w:val="28"/>
      <w:szCs w:val="28"/>
    </w:rPr>
  </w:style>
  <w:style w:type="character" w:styleId="993" w:default="1">
    <w:name w:val="Default Paragraph Font"/>
    <w:uiPriority w:val="1"/>
    <w:semiHidden/>
    <w:unhideWhenUsed/>
    <w:qFormat/>
  </w:style>
  <w:style w:type="table" w:styleId="994" w:default="1">
    <w:name w:val="Normal Table"/>
    <w:uiPriority w:val="99"/>
    <w:semiHidden/>
    <w:unhideWhenUsed/>
    <w:qFormat/>
    <w:tblPr>
      <w:tblCellMar>
        <w:left w:w="108" w:type="dxa"/>
        <w:top w:w="0" w:type="dxa"/>
        <w:right w:w="108" w:type="dxa"/>
        <w:bottom w:w="0" w:type="dxa"/>
      </w:tblCellMar>
    </w:tblPr>
  </w:style>
  <w:style w:type="paragraph" w:styleId="995">
    <w:name w:val="table of authorities"/>
    <w:basedOn w:val="988"/>
    <w:next w:val="988"/>
    <w:uiPriority w:val="99"/>
    <w:unhideWhenUsed/>
    <w:qFormat/>
    <w:pPr>
      <w:ind w:left="420"/>
    </w:pPr>
  </w:style>
  <w:style w:type="paragraph" w:styleId="996">
    <w:name w:val="Normal Indent"/>
    <w:basedOn w:val="988"/>
    <w:next w:val="988"/>
    <w:link w:val="1034"/>
    <w:uiPriority w:val="99"/>
    <w:qFormat/>
    <w:pPr>
      <w:ind w:firstLine="420"/>
      <w:jc w:val="left"/>
    </w:pPr>
    <w:rPr>
      <w:rFonts w:ascii="宋体" w:hAnsi="Times New Roman"/>
      <w:sz w:val="24"/>
      <w:szCs w:val="24"/>
    </w:rPr>
  </w:style>
  <w:style w:type="paragraph" w:styleId="997">
    <w:name w:val="index 5"/>
    <w:basedOn w:val="988"/>
    <w:next w:val="988"/>
    <w:uiPriority w:val="99"/>
    <w:unhideWhenUsed/>
    <w:qFormat/>
    <w:pPr>
      <w:ind w:left="800"/>
    </w:pPr>
  </w:style>
  <w:style w:type="paragraph" w:styleId="998">
    <w:name w:val="Document Map"/>
    <w:basedOn w:val="988"/>
    <w:link w:val="1026"/>
    <w:uiPriority w:val="99"/>
    <w:unhideWhenUsed/>
    <w:qFormat/>
    <w:rPr>
      <w:rFonts w:ascii="宋体"/>
      <w:sz w:val="18"/>
      <w:szCs w:val="18"/>
    </w:rPr>
  </w:style>
  <w:style w:type="paragraph" w:styleId="999">
    <w:name w:val="annotation text"/>
    <w:basedOn w:val="988"/>
    <w:link w:val="1027"/>
    <w:uiPriority w:val="99"/>
    <w:qFormat/>
    <w:pPr>
      <w:jc w:val="left"/>
    </w:pPr>
    <w:rPr>
      <w:rFonts w:ascii="Times New Roman" w:hAnsi="Times New Roman"/>
      <w:szCs w:val="24"/>
    </w:rPr>
  </w:style>
  <w:style w:type="paragraph" w:styleId="1000">
    <w:name w:val="Body Text"/>
    <w:basedOn w:val="988"/>
    <w:next w:val="988"/>
    <w:link w:val="1025"/>
    <w:uiPriority w:val="0"/>
    <w:unhideWhenUsed/>
    <w:qFormat/>
    <w:pPr>
      <w:spacing w:after="120"/>
    </w:pPr>
  </w:style>
  <w:style w:type="paragraph" w:styleId="1001">
    <w:name w:val="Body Text Indent"/>
    <w:basedOn w:val="988"/>
    <w:next w:val="1002"/>
    <w:link w:val="1028"/>
    <w:uiPriority w:val="0"/>
    <w:unhideWhenUsed/>
    <w:qFormat/>
    <w:pPr>
      <w:ind w:left="420"/>
      <w:spacing w:after="120"/>
    </w:pPr>
    <w:rPr>
      <w:rFonts w:eastAsia="Calibri"/>
      <w:sz w:val="20"/>
      <w:szCs w:val="20"/>
      <w:lang w:val="zh-CN"/>
    </w:rPr>
  </w:style>
  <w:style w:type="paragraph" w:styleId="1002">
    <w:name w:val="envelope return"/>
    <w:basedOn w:val="988"/>
    <w:uiPriority w:val="0"/>
    <w:qFormat/>
    <w:rPr>
      <w:rFonts w:ascii="Arial" w:hAnsi="Arial"/>
      <w:szCs w:val="24"/>
    </w:rPr>
  </w:style>
  <w:style w:type="paragraph" w:styleId="1003">
    <w:name w:val="Plain Text"/>
    <w:basedOn w:val="988"/>
    <w:next w:val="996"/>
    <w:link w:val="1029"/>
    <w:uiPriority w:val="0"/>
    <w:qFormat/>
    <w:rPr>
      <w:rFonts w:hint="eastAsia" w:ascii="宋体" w:hAnsi="Courier New"/>
      <w:szCs w:val="20"/>
    </w:rPr>
  </w:style>
  <w:style w:type="paragraph" w:styleId="1004">
    <w:name w:val="Balloon Text"/>
    <w:basedOn w:val="988"/>
    <w:link w:val="1030"/>
    <w:uiPriority w:val="0"/>
    <w:unhideWhenUsed/>
    <w:qFormat/>
    <w:rPr>
      <w:sz w:val="18"/>
      <w:szCs w:val="18"/>
    </w:rPr>
  </w:style>
  <w:style w:type="paragraph" w:styleId="1005">
    <w:name w:val="Footer"/>
    <w:basedOn w:val="988"/>
    <w:link w:val="1021"/>
    <w:uiPriority w:val="99"/>
    <w:unhideWhenUsed/>
    <w:qFormat/>
    <w:pPr>
      <w:jc w:val="left"/>
      <w:tabs>
        <w:tab w:val="center" w:pos="4153" w:leader="none"/>
        <w:tab w:val="right" w:pos="8306" w:leader="none"/>
      </w:tabs>
    </w:pPr>
    <w:rPr>
      <w:sz w:val="18"/>
      <w:szCs w:val="18"/>
    </w:rPr>
  </w:style>
  <w:style w:type="paragraph" w:styleId="1006">
    <w:name w:val="Header"/>
    <w:basedOn w:val="988"/>
    <w:link w:val="1020"/>
    <w:uiPriority w:val="99"/>
    <w:unhideWhenUsed/>
    <w:qFormat/>
    <w:pPr>
      <w:jc w:val="center"/>
      <w:tabs>
        <w:tab w:val="center" w:pos="4153" w:leader="none"/>
        <w:tab w:val="right" w:pos="8306" w:leader="none"/>
      </w:tabs>
    </w:pPr>
    <w:rPr>
      <w:sz w:val="18"/>
      <w:szCs w:val="18"/>
    </w:rPr>
  </w:style>
  <w:style w:type="paragraph" w:styleId="1007">
    <w:name w:val="toc 1"/>
    <w:basedOn w:val="988"/>
    <w:next w:val="988"/>
    <w:uiPriority w:val="39"/>
    <w:unhideWhenUsed/>
    <w:qFormat/>
    <w:rPr>
      <w:rFonts w:ascii="宋体" w:hAnsi="宋体" w:cs="宋体"/>
      <w:b/>
      <w:sz w:val="32"/>
    </w:rPr>
  </w:style>
  <w:style w:type="paragraph" w:styleId="1008">
    <w:name w:val="toc 4"/>
    <w:basedOn w:val="988"/>
    <w:next w:val="988"/>
    <w:uiPriority w:val="39"/>
    <w:unhideWhenUsed/>
    <w:qFormat/>
    <w:pPr>
      <w:ind w:left="1260"/>
    </w:pPr>
  </w:style>
  <w:style w:type="paragraph" w:styleId="1009">
    <w:name w:val="footnote text"/>
    <w:basedOn w:val="988"/>
    <w:next w:val="997"/>
    <w:uiPriority w:val="0"/>
    <w:qFormat/>
    <w:pPr>
      <w:ind w:firstLine="425"/>
      <w:jc w:val="left"/>
      <w:spacing w:before="120" w:line="360" w:lineRule="auto"/>
    </w:pPr>
    <w:rPr>
      <w:sz w:val="18"/>
      <w:szCs w:val="20"/>
    </w:rPr>
  </w:style>
  <w:style w:type="paragraph" w:styleId="1010">
    <w:name w:val="Normal (Web)"/>
    <w:basedOn w:val="988"/>
    <w:link w:val="1035"/>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1011">
    <w:name w:val="annotation subject"/>
    <w:basedOn w:val="999"/>
    <w:next w:val="999"/>
    <w:link w:val="1031"/>
    <w:uiPriority w:val="99"/>
    <w:unhideWhenUsed/>
    <w:qFormat/>
    <w:rPr>
      <w:rFonts w:ascii="Calibri" w:hAnsi="Calibri"/>
      <w:b/>
      <w:bCs/>
      <w:szCs w:val="22"/>
    </w:rPr>
  </w:style>
  <w:style w:type="table" w:styleId="1012">
    <w:name w:val="Table Grid"/>
    <w:basedOn w:val="994"/>
    <w:uiPriority w:val="5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3">
    <w:name w:val="Strong"/>
    <w:basedOn w:val="993"/>
    <w:uiPriority w:val="22"/>
    <w:qFormat/>
    <w:rPr>
      <w:rFonts w:ascii="Times New Roman" w:hAnsi="Times New Roman" w:eastAsia="宋体" w:cs="Times New Roman"/>
      <w:b/>
    </w:rPr>
  </w:style>
  <w:style w:type="character" w:styleId="1014">
    <w:name w:val="page number"/>
    <w:uiPriority w:val="0"/>
    <w:qFormat/>
  </w:style>
  <w:style w:type="character" w:styleId="1015">
    <w:name w:val="Emphasis"/>
    <w:basedOn w:val="993"/>
    <w:uiPriority w:val="20"/>
    <w:qFormat/>
    <w:rPr>
      <w:i/>
      <w:iCs/>
    </w:rPr>
  </w:style>
  <w:style w:type="character" w:styleId="1016">
    <w:name w:val="Hyperlink"/>
    <w:uiPriority w:val="99"/>
    <w:qFormat/>
    <w:rPr>
      <w:color w:val="0000ff"/>
      <w:u w:val="single"/>
    </w:rPr>
  </w:style>
  <w:style w:type="character" w:styleId="1017">
    <w:name w:val="annotation reference"/>
    <w:uiPriority w:val="99"/>
    <w:qFormat/>
    <w:rPr>
      <w:sz w:val="21"/>
      <w:szCs w:val="21"/>
    </w:rPr>
  </w:style>
  <w:style w:type="paragraph" w:styleId="1018" w:customStyle="1">
    <w:name w:val="正文文本111"/>
    <w:basedOn w:val="988"/>
    <w:next w:val="1019"/>
    <w:uiPriority w:val="0"/>
    <w:qFormat/>
    <w:pPr>
      <w:spacing w:before="120" w:line="22" w:lineRule="atLeast"/>
      <w:tabs>
        <w:tab w:val="left" w:pos="567" w:leader="none"/>
      </w:tabs>
    </w:pPr>
    <w:rPr>
      <w:rFonts w:ascii="宋体" w:hAnsi="宋体"/>
      <w:sz w:val="24"/>
      <w:szCs w:val="20"/>
    </w:rPr>
  </w:style>
  <w:style w:type="paragraph" w:styleId="1019" w:customStyle="1">
    <w:name w:val="目录 211"/>
    <w:basedOn w:val="988"/>
    <w:next w:val="988"/>
    <w:uiPriority w:val="39"/>
    <w:unhideWhenUsed/>
    <w:qFormat/>
    <w:pPr>
      <w:ind w:left="283"/>
      <w:spacing w:after="57"/>
    </w:pPr>
  </w:style>
  <w:style w:type="character" w:styleId="1020" w:customStyle="1">
    <w:name w:val="页眉 Char"/>
    <w:basedOn w:val="993"/>
    <w:link w:val="1006"/>
    <w:uiPriority w:val="99"/>
    <w:qFormat/>
    <w:rPr>
      <w:sz w:val="18"/>
      <w:szCs w:val="18"/>
    </w:rPr>
  </w:style>
  <w:style w:type="character" w:styleId="1021" w:customStyle="1">
    <w:name w:val="页脚 Char"/>
    <w:basedOn w:val="993"/>
    <w:link w:val="1005"/>
    <w:uiPriority w:val="99"/>
    <w:qFormat/>
    <w:rPr>
      <w:sz w:val="18"/>
      <w:szCs w:val="18"/>
    </w:rPr>
  </w:style>
  <w:style w:type="character" w:styleId="1022" w:customStyle="1">
    <w:name w:val="标题 1 字符"/>
    <w:basedOn w:val="993"/>
    <w:uiPriority w:val="0"/>
    <w:qFormat/>
    <w:rPr>
      <w:rFonts w:ascii="Calibri" w:hAnsi="Calibri" w:eastAsia="宋体" w:cs="Times New Roman"/>
      <w:b/>
      <w:bCs/>
      <w:sz w:val="44"/>
      <w:szCs w:val="44"/>
      <w14:ligatures w14:val="none"/>
    </w:rPr>
  </w:style>
  <w:style w:type="character" w:styleId="1023" w:customStyle="1">
    <w:name w:val="标题 2 字符"/>
    <w:basedOn w:val="993"/>
    <w:uiPriority w:val="0"/>
    <w:qFormat/>
    <w:rPr>
      <w:rFonts w:asciiTheme="majorHAnsi" w:hAnsiTheme="majorHAnsi" w:eastAsiaTheme="majorEastAsia" w:cstheme="majorBidi"/>
      <w:b/>
      <w:bCs/>
      <w:sz w:val="32"/>
      <w:szCs w:val="32"/>
      <w14:ligatures w14:val="none"/>
    </w:rPr>
  </w:style>
  <w:style w:type="character" w:styleId="1024" w:customStyle="1">
    <w:name w:val="标题 3 Char"/>
    <w:basedOn w:val="993"/>
    <w:link w:val="991"/>
    <w:uiPriority w:val="9"/>
    <w:qFormat/>
    <w:rPr>
      <w:rFonts w:ascii="Calibri" w:hAnsi="Calibri" w:eastAsia="宋体" w:cs="Times New Roman"/>
      <w:b/>
      <w:bCs/>
      <w:sz w:val="32"/>
      <w:szCs w:val="32"/>
      <w14:ligatures w14:val="none"/>
    </w:rPr>
  </w:style>
  <w:style w:type="character" w:styleId="1025" w:customStyle="1">
    <w:name w:val="正文文本 Char"/>
    <w:basedOn w:val="993"/>
    <w:link w:val="1000"/>
    <w:uiPriority w:val="0"/>
    <w:qFormat/>
    <w:rPr>
      <w:rFonts w:ascii="Calibri" w:hAnsi="Calibri" w:eastAsia="宋体" w:cs="Times New Roman"/>
      <w14:ligatures w14:val="none"/>
    </w:rPr>
  </w:style>
  <w:style w:type="character" w:styleId="1026" w:customStyle="1">
    <w:name w:val="文档结构图 Char"/>
    <w:basedOn w:val="993"/>
    <w:link w:val="998"/>
    <w:uiPriority w:val="99"/>
    <w:qFormat/>
    <w:rPr>
      <w:rFonts w:ascii="宋体" w:hAnsi="Calibri" w:eastAsia="宋体" w:cs="Times New Roman"/>
      <w:sz w:val="18"/>
      <w:szCs w:val="18"/>
      <w14:ligatures w14:val="none"/>
    </w:rPr>
  </w:style>
  <w:style w:type="character" w:styleId="1027" w:customStyle="1">
    <w:name w:val="批注文字 Char1"/>
    <w:basedOn w:val="993"/>
    <w:link w:val="999"/>
    <w:uiPriority w:val="99"/>
    <w:qFormat/>
    <w:rPr>
      <w:rFonts w:ascii="Times New Roman" w:hAnsi="Times New Roman" w:eastAsia="宋体" w:cs="Times New Roman"/>
      <w:szCs w:val="24"/>
      <w14:ligatures w14:val="none"/>
    </w:rPr>
  </w:style>
  <w:style w:type="character" w:styleId="1028" w:customStyle="1">
    <w:name w:val="正文文本缩进 Char"/>
    <w:basedOn w:val="993"/>
    <w:link w:val="1001"/>
    <w:uiPriority w:val="0"/>
    <w:qFormat/>
    <w:rPr>
      <w:rFonts w:ascii="Calibri" w:hAnsi="Calibri" w:eastAsia="Calibri" w:cs="Times New Roman"/>
      <w:sz w:val="20"/>
      <w:szCs w:val="20"/>
      <w:lang w:val="zh-CN"/>
      <w14:ligatures w14:val="none"/>
    </w:rPr>
  </w:style>
  <w:style w:type="character" w:styleId="1029" w:customStyle="1">
    <w:name w:val="纯文本 Char"/>
    <w:basedOn w:val="993"/>
    <w:link w:val="1003"/>
    <w:uiPriority w:val="0"/>
    <w:qFormat/>
    <w:rPr>
      <w:rFonts w:ascii="宋体" w:hAnsi="Courier New" w:eastAsia="宋体" w:cs="Times New Roman"/>
      <w:szCs w:val="20"/>
      <w14:ligatures w14:val="none"/>
    </w:rPr>
  </w:style>
  <w:style w:type="character" w:styleId="1030" w:customStyle="1">
    <w:name w:val="批注框文本 Char"/>
    <w:basedOn w:val="993"/>
    <w:link w:val="1004"/>
    <w:uiPriority w:val="0"/>
    <w:qFormat/>
    <w:rPr>
      <w:rFonts w:ascii="Calibri" w:hAnsi="Calibri" w:eastAsia="宋体" w:cs="Times New Roman"/>
      <w:sz w:val="18"/>
      <w:szCs w:val="18"/>
      <w14:ligatures w14:val="none"/>
    </w:rPr>
  </w:style>
  <w:style w:type="character" w:styleId="1031" w:customStyle="1">
    <w:name w:val="批注主题 Char"/>
    <w:basedOn w:val="1027"/>
    <w:link w:val="1011"/>
    <w:uiPriority w:val="99"/>
    <w:qFormat/>
    <w:rPr>
      <w:rFonts w:ascii="Calibri" w:hAnsi="Calibri" w:eastAsia="宋体" w:cs="Times New Roman"/>
      <w:b/>
      <w:bCs/>
      <w:szCs w:val="24"/>
      <w14:ligatures w14:val="none"/>
    </w:rPr>
  </w:style>
  <w:style w:type="character" w:styleId="1032" w:customStyle="1">
    <w:name w:val="标题 1 Char"/>
    <w:basedOn w:val="993"/>
    <w:link w:val="989"/>
    <w:uiPriority w:val="9"/>
    <w:qFormat/>
    <w:rPr>
      <w:rFonts w:ascii="Calibri" w:hAnsi="Calibri" w:eastAsia="宋体" w:cs="Times New Roman"/>
      <w:b/>
      <w:sz w:val="36"/>
      <w:szCs w:val="36"/>
      <w14:ligatures w14:val="none"/>
    </w:rPr>
  </w:style>
  <w:style w:type="character" w:styleId="1033" w:customStyle="1">
    <w:name w:val="标题 2 Char"/>
    <w:basedOn w:val="993"/>
    <w:link w:val="990"/>
    <w:uiPriority w:val="9"/>
    <w:qFormat/>
    <w:rPr>
      <w:rFonts w:ascii="Cambria" w:hAnsi="Cambria" w:eastAsia="宋体" w:cs="Times New Roman"/>
      <w:b/>
      <w:bCs/>
      <w:sz w:val="32"/>
      <w:szCs w:val="32"/>
      <w14:ligatures w14:val="none"/>
    </w:rPr>
  </w:style>
  <w:style w:type="character" w:styleId="1034" w:customStyle="1">
    <w:name w:val="正文缩进 Char"/>
    <w:link w:val="996"/>
    <w:uiPriority w:val="99"/>
    <w:qFormat/>
    <w:rPr>
      <w:rFonts w:ascii="宋体" w:hAnsi="Times New Roman" w:eastAsia="宋体" w:cs="Times New Roman"/>
      <w:sz w:val="24"/>
      <w:szCs w:val="24"/>
      <w14:ligatures w14:val="none"/>
    </w:rPr>
  </w:style>
  <w:style w:type="character" w:styleId="1035" w:customStyle="1">
    <w:name w:val="普通(网站) Char"/>
    <w:link w:val="1010"/>
    <w:uiPriority w:val="99"/>
    <w:qFormat/>
    <w:rPr>
      <w:rFonts w:ascii="Arial Unicode MS" w:hAnsi="Arial Unicode MS" w:eastAsia="Arial Unicode MS" w:cs="Arial Unicode MS"/>
      <w:sz w:val="24"/>
      <w:szCs w:val="24"/>
      <w14:ligatures w14:val="none"/>
    </w:rPr>
  </w:style>
  <w:style w:type="paragraph" w:styleId="1036"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1037" w:customStyle="1">
    <w:name w:val="NormalCharacter"/>
    <w:basedOn w:val="993"/>
    <w:uiPriority w:val="0"/>
    <w:qFormat/>
  </w:style>
  <w:style w:type="paragraph" w:styleId="1038">
    <w:name w:val="List Paragraph"/>
    <w:basedOn w:val="988"/>
    <w:link w:val="1039"/>
    <w:uiPriority w:val="34"/>
    <w:qFormat/>
    <w:pPr>
      <w:ind w:firstLine="420"/>
    </w:pPr>
  </w:style>
  <w:style w:type="character" w:styleId="1039" w:customStyle="1">
    <w:name w:val="列出段落 Char"/>
    <w:link w:val="1038"/>
    <w:uiPriority w:val="34"/>
    <w:qFormat/>
    <w:rPr>
      <w:rFonts w:ascii="Calibri" w:hAnsi="Calibri" w:eastAsia="宋体" w:cs="Times New Roman"/>
      <w14:ligatures w14:val="none"/>
    </w:rPr>
  </w:style>
  <w:style w:type="character" w:styleId="1040" w:customStyle="1">
    <w:name w:val="批注文字 Char"/>
    <w:basedOn w:val="993"/>
    <w:uiPriority w:val="99"/>
    <w:qFormat/>
  </w:style>
  <w:style w:type="paragraph" w:styleId="1041" w:customStyle="1">
    <w:name w:val="图例"/>
    <w:basedOn w:val="988"/>
    <w:uiPriority w:val="0"/>
    <w:qFormat/>
    <w:pPr>
      <w:jc w:val="center"/>
      <w:spacing w:before="120" w:after="120" w:line="360" w:lineRule="auto"/>
    </w:pPr>
    <w:rPr>
      <w:rFonts w:ascii="Times New Roman" w:hAnsi="Times New Roman" w:eastAsia="仿宋_GB2312"/>
      <w:b/>
      <w:sz w:val="24"/>
      <w:szCs w:val="20"/>
    </w:rPr>
  </w:style>
  <w:style w:type="paragraph" w:styleId="1042" w:customStyle="1">
    <w:name w:val="Table Paragraph"/>
    <w:basedOn w:val="988"/>
    <w:uiPriority w:val="1"/>
    <w:qFormat/>
    <w:pPr>
      <w:jc w:val="left"/>
    </w:pPr>
    <w:rPr>
      <w:rFonts w:ascii="宋体" w:hAnsi="宋体" w:cs="宋体"/>
      <w:sz w:val="22"/>
      <w:lang w:eastAsia="en-US"/>
    </w:rPr>
  </w:style>
  <w:style w:type="paragraph" w:styleId="1043" w:customStyle="1">
    <w:name w:val="179"/>
    <w:basedOn w:val="988"/>
    <w:uiPriority w:val="0"/>
    <w:qFormat/>
    <w:pPr>
      <w:ind w:firstLine="420"/>
    </w:pPr>
  </w:style>
  <w:style w:type="paragraph" w:styleId="1044" w:customStyle="1">
    <w:name w:val="成文日期"/>
    <w:basedOn w:val="988"/>
    <w:link w:val="1045"/>
    <w:uiPriority w:val="0"/>
    <w:qFormat/>
    <w:pPr>
      <w:ind w:right="400" w:firstLine="200"/>
      <w:jc w:val="right"/>
      <w:spacing w:line="570" w:lineRule="exact"/>
    </w:pPr>
    <w:rPr>
      <w:rFonts w:ascii="仿宋_GB2312" w:hAnsi="Times New Roman" w:eastAsia="仿宋_GB2312"/>
      <w:sz w:val="32"/>
      <w:szCs w:val="20"/>
    </w:rPr>
  </w:style>
  <w:style w:type="character" w:styleId="1045" w:customStyle="1">
    <w:name w:val="成文日期 Char"/>
    <w:link w:val="1044"/>
    <w:uiPriority w:val="0"/>
    <w:qFormat/>
    <w:rPr>
      <w:rFonts w:ascii="仿宋_GB2312" w:hAnsi="Times New Roman" w:eastAsia="仿宋_GB2312" w:cs="Times New Roman"/>
      <w:sz w:val="32"/>
      <w:szCs w:val="20"/>
      <w14:ligatures w14:val="none"/>
    </w:rPr>
  </w:style>
  <w:style w:type="paragraph" w:styleId="1046" w:customStyle="1">
    <w:name w:val="Plain Text1"/>
    <w:next w:val="1008"/>
    <w:uiPriority w:val="0"/>
    <w:qFormat/>
    <w:pPr>
      <w:jc w:val="both"/>
      <w:widowControl w:val="off"/>
    </w:pPr>
    <w:rPr>
      <w:rFonts w:ascii="宋体" w:hAnsi="宋体" w:eastAsia="楷体_GB2312" w:cs="Times New Roman"/>
      <w:sz w:val="26"/>
      <w:szCs w:val="22"/>
      <w:lang w:val="en-US" w:eastAsia="zh-CN" w:bidi="ar-SA"/>
    </w:rPr>
  </w:style>
  <w:style w:type="character" w:styleId="1047" w:customStyle="1">
    <w:name w:val="正文缩进 Char1"/>
    <w:uiPriority w:val="99"/>
    <w:qFormat/>
    <w:rPr>
      <w:rFonts w:ascii="宋体" w:eastAsia="宋体"/>
      <w:sz w:val="24"/>
      <w:szCs w:val="24"/>
      <w:lang w:val="en-US" w:eastAsia="zh-CN" w:bidi="ar-SA"/>
    </w:rPr>
  </w:style>
  <w:style w:type="paragraph" w:styleId="1048" w:customStyle="1">
    <w:name w:val="列表段落1"/>
    <w:basedOn w:val="988"/>
    <w:uiPriority w:val="0"/>
    <w:qFormat/>
    <w:pPr>
      <w:ind w:firstLine="420"/>
      <w:jc w:val="left"/>
    </w:pPr>
    <w:rPr>
      <w:sz w:val="20"/>
      <w:szCs w:val="20"/>
    </w:rPr>
  </w:style>
  <w:style w:type="paragraph" w:styleId="1049" w:customStyle="1">
    <w:name w:val="p0"/>
    <w:basedOn w:val="988"/>
    <w:uiPriority w:val="0"/>
    <w:qFormat/>
    <w:pPr>
      <w:widowControl/>
    </w:pPr>
    <w:rPr>
      <w:szCs w:val="24"/>
    </w:rPr>
  </w:style>
  <w:style w:type="character" w:styleId="1050" w:customStyle="1">
    <w:name w:val="列表段落 字符"/>
    <w:link w:val="1051"/>
    <w:uiPriority w:val="34"/>
    <w:qFormat/>
    <w:rPr>
      <w:rFonts w:ascii="Calibri" w:hAnsi="Calibri"/>
    </w:rPr>
  </w:style>
  <w:style w:type="paragraph" w:styleId="1051" w:customStyle="1">
    <w:name w:val="_Style 50"/>
    <w:basedOn w:val="988"/>
    <w:next w:val="1038"/>
    <w:link w:val="1050"/>
    <w:uiPriority w:val="34"/>
    <w:qFormat/>
    <w:pPr>
      <w:ind w:firstLine="420"/>
    </w:pPr>
    <w:rPr>
      <w:rFonts w:eastAsiaTheme="minorEastAsia" w:cstheme="minorBidi"/>
      <w14:ligatures w14:val="standardContextual"/>
    </w:rPr>
  </w:style>
  <w:style w:type="character" w:styleId="1052" w:customStyle="1">
    <w:name w:val="批注主题 Char1"/>
    <w:uiPriority w:val="99"/>
    <w:semiHidden/>
    <w:qFormat/>
    <w:rPr>
      <w:b/>
      <w:bCs/>
      <w:sz w:val="21"/>
      <w:szCs w:val="24"/>
    </w:rPr>
  </w:style>
  <w:style w:type="character" w:styleId="1053" w:customStyle="1">
    <w:name w:val="纯文本 字符2"/>
    <w:uiPriority w:val="0"/>
    <w:qFormat/>
    <w:rPr>
      <w:rFonts w:hint="eastAsia" w:ascii="宋体" w:hAnsi="Courier New" w:eastAsia="宋体" w:cs="宋体"/>
      <w:sz w:val="21"/>
    </w:rPr>
  </w:style>
  <w:style w:type="character" w:styleId="1054" w:customStyle="1">
    <w:name w:val="普通(网站) 字符"/>
    <w:uiPriority w:val="0"/>
    <w:qFormat/>
    <w:rPr>
      <w:rFonts w:ascii="宋体" w:hAnsi="宋体" w:cs="宋体"/>
      <w:sz w:val="24"/>
      <w:szCs w:val="24"/>
    </w:rPr>
  </w:style>
  <w:style w:type="paragraph" w:styleId="1055" w:customStyle="1">
    <w:name w:val="修订1"/>
    <w:uiPriority w:val="99"/>
    <w:unhideWhenUsed/>
    <w:qFormat/>
    <w:rPr>
      <w:rFonts w:ascii="Calibri" w:hAnsi="Calibri" w:eastAsia="宋体" w:cs="Times New Roman"/>
      <w:sz w:val="21"/>
      <w:szCs w:val="22"/>
      <w:lang w:val="en-US" w:eastAsia="zh-CN" w:bidi="ar-SA"/>
    </w:rPr>
  </w:style>
  <w:style w:type="paragraph" w:styleId="1056" w:customStyle="1">
    <w:name w:val="标题 21"/>
    <w:basedOn w:val="988"/>
    <w:next w:val="988"/>
    <w:uiPriority w:val="0"/>
    <w:qFormat/>
    <w:pPr>
      <w:jc w:val="center"/>
      <w:keepLines/>
      <w:keepNext/>
      <w:spacing w:before="260" w:after="260" w:line="416" w:lineRule="auto"/>
      <w:outlineLvl w:val="1"/>
    </w:pPr>
    <w:rPr>
      <w:rFonts w:ascii="幼圆" w:hAnsi="Arial" w:eastAsia="楷体_GB2312"/>
      <w:b/>
      <w:sz w:val="44"/>
      <w:szCs w:val="20"/>
    </w:rPr>
  </w:style>
  <w:style w:type="paragraph" w:styleId="1057" w:customStyle="1">
    <w:name w:val="UserStyle_80"/>
    <w:basedOn w:val="988"/>
    <w:next w:val="988"/>
    <w:uiPriority w:val="0"/>
    <w:qFormat/>
    <w:pPr>
      <w:ind w:firstLine="420"/>
      <w:widowControl/>
    </w:pPr>
    <w:rPr>
      <w:rFonts w:ascii="Times New Roman" w:hAnsi="Times New Roman"/>
      <w:sz w:val="24"/>
      <w:szCs w:val="20"/>
    </w:rPr>
  </w:style>
  <w:style w:type="character" w:styleId="1058" w:customStyle="1">
    <w:name w:val="Heading 3 Char"/>
    <w:basedOn w:val="993"/>
    <w:uiPriority w:val="9"/>
    <w:qFormat/>
    <w:rPr>
      <w:rFonts w:ascii="Arial" w:hAnsi="Arial" w:eastAsia="Arial" w:cs="Arial"/>
      <w:sz w:val="30"/>
      <w:szCs w:val="30"/>
    </w:rPr>
  </w:style>
  <w:style w:type="paragraph" w:styleId="1059" w:customStyle="1">
    <w:name w:val="修订2"/>
    <w:hidden/>
    <w:uiPriority w:val="99"/>
    <w:unhideWhenUsed/>
    <w:qFormat/>
    <w:rPr>
      <w:rFonts w:ascii="Calibri" w:hAnsi="Calibri" w:eastAsia="宋体" w:cs="Times New Roman"/>
      <w:sz w:val="21"/>
      <w:szCs w:val="22"/>
      <w:lang w:val="en-US" w:eastAsia="zh-CN" w:bidi="ar-SA"/>
    </w:rPr>
  </w:style>
  <w:style w:type="paragraph" w:styleId="1060" w:customStyle="1">
    <w:name w:val="正文格式"/>
    <w:basedOn w:val="988"/>
    <w:uiPriority w:val="0"/>
    <w:qFormat/>
    <w:pPr>
      <w:ind w:firstLine="480"/>
      <w:spacing w:line="360" w:lineRule="auto"/>
    </w:pPr>
    <w:rPr>
      <w:rFonts w:ascii="宋体" w:hAnsi="宋体"/>
      <w:sz w:val="24"/>
      <w:lang w:val="en-GB"/>
    </w:rPr>
  </w:style>
  <w:style w:type="paragraph" w:styleId="1061" w:customStyle="1">
    <w:name w:val="并列项-点"/>
    <w:basedOn w:val="988"/>
    <w:uiPriority w:val="0"/>
    <w:qFormat/>
    <w:pPr>
      <w:numPr>
        <w:ilvl w:val="0"/>
        <w:numId w:val="1"/>
      </w:numPr>
      <w:spacing w:line="360" w:lineRule="auto"/>
      <w:widowControl/>
      <w:tabs>
        <w:tab w:val="left" w:pos="851" w:leader="none"/>
      </w:tabs>
    </w:pPr>
    <w:rPr>
      <w:sz w:val="24"/>
      <w:szCs w:val="20"/>
    </w:rPr>
  </w:style>
  <w:style w:type="character" w:styleId="1062" w:customStyle="1">
    <w:name w:val="纯文本 字符1"/>
    <w:uiPriority w:val="99"/>
    <w:qFormat/>
    <w:rPr>
      <w:rFonts w:ascii="宋体" w:hAnsi="Courier New" w:eastAsia="宋体" w:cs="Times New Roman"/>
      <w:szCs w:val="20"/>
    </w:rPr>
  </w:style>
  <w:style w:type="paragraph" w:styleId="1063" w:customStyle="1">
    <w:name w:val="修订3"/>
    <w:hidden/>
    <w:uiPriority w:val="99"/>
    <w:unhideWhenUsed/>
    <w:qFormat/>
    <w:rPr>
      <w:rFonts w:ascii="Calibri" w:hAnsi="Calibri" w:eastAsia="宋体" w:cs="Times New Roman"/>
      <w:sz w:val="21"/>
      <w:szCs w:val="22"/>
      <w:lang w:val="en-US" w:eastAsia="zh-CN" w:bidi="ar-SA"/>
    </w:rPr>
  </w:style>
  <w:style w:type="character" w:styleId="1064" w:customStyle="1">
    <w:name w:val="font51"/>
    <w:basedOn w:val="993"/>
    <w:uiPriority w:val="0"/>
    <w:qFormat/>
    <w:rPr>
      <w:rFonts w:hint="eastAsia" w:ascii="宋体" w:hAnsi="宋体" w:eastAsia="宋体" w:cs="宋体"/>
      <w:color w:val="000000"/>
      <w:sz w:val="18"/>
      <w:szCs w:val="18"/>
      <w:u w:val="none"/>
    </w:rPr>
  </w:style>
  <w:style w:type="paragraph" w:styleId="1065" w:customStyle="1">
    <w:name w:val="修订4"/>
    <w:hidden/>
    <w:uiPriority w:val="99"/>
    <w:unhideWhenUsed/>
    <w:qFormat/>
    <w:rPr>
      <w:rFonts w:ascii="Calibri" w:hAnsi="Calibri" w:eastAsia="宋体" w:cs="Times New Roman"/>
      <w:sz w:val="21"/>
      <w:szCs w:val="22"/>
      <w:lang w:val="en-US" w:eastAsia="zh-CN" w:bidi="ar-SA"/>
    </w:rPr>
  </w:style>
  <w:style w:type="character" w:styleId="1066" w:customStyle="1">
    <w:name w:val="font31"/>
    <w:basedOn w:val="993"/>
    <w:uiPriority w:val="0"/>
    <w:qFormat/>
    <w:rPr>
      <w:rFonts w:hint="eastAsia" w:ascii="宋体" w:hAnsi="宋体" w:eastAsia="宋体" w:cs="宋体"/>
      <w:color w:val="000000"/>
      <w:sz w:val="18"/>
      <w:szCs w:val="18"/>
      <w:u w:val="none"/>
    </w:rPr>
  </w:style>
  <w:style w:type="character" w:styleId="1067" w:customStyle="1">
    <w:name w:val="font41"/>
    <w:uiPriority w:val="0"/>
    <w:qFormat/>
    <w:rPr>
      <w:rFonts w:hint="eastAsia" w:ascii="黑体" w:hAnsi="宋体" w:eastAsia="黑体" w:cs="黑体"/>
      <w:color w:val="000000"/>
      <w:sz w:val="21"/>
      <w:szCs w:val="21"/>
      <w:u w:val="none"/>
    </w:rPr>
  </w:style>
  <w:style w:type="character" w:styleId="1068" w:customStyle="1">
    <w:name w:val="font01"/>
    <w:uiPriority w:val="0"/>
    <w:qFormat/>
    <w:rPr>
      <w:rFonts w:hint="eastAsia" w:ascii="宋体" w:hAnsi="宋体" w:eastAsia="宋体" w:cs="宋体"/>
      <w:color w:val="000000"/>
      <w:sz w:val="18"/>
      <w:szCs w:val="18"/>
      <w:u w:val="none"/>
    </w:rPr>
  </w:style>
  <w:style w:type="paragraph" w:styleId="1069"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numbering" w:styleId="10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袁涵</cp:lastModifiedBy>
  <cp:revision>4</cp:revision>
  <dcterms:created xsi:type="dcterms:W3CDTF">2025-08-22T02:28:00Z</dcterms:created>
  <dcterms:modified xsi:type="dcterms:W3CDTF">2026-01-04T08:23:42Z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F20DC73039104021BA7B7AC2D81425AC_13</vt:lpwstr>
  </property>
  <property fmtid="{D5CDD505-2E9C-101B-9397-08002B2CF9AE}" pid="4" name="KSOTemplateDocerSaveRecord">
    <vt:lpwstr>eyJoZGlkIjoiYWJkZjBhZjViNDBlOWQyZTllMDk4MzdmMWMyNjRiZDciLCJ1c2VySWQiOiI0NjU4NTEzMTAifQ==</vt:lpwstr>
  </property>
</Properties>
</file>